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D530" w14:textId="7C9C90A6" w:rsidR="00381D84" w:rsidRDefault="00E77101" w:rsidP="00BB5636">
      <w:pPr>
        <w:pStyle w:val="BodyText"/>
        <w:spacing w:before="1"/>
        <w:ind w:left="0"/>
        <w:contextualSpacing/>
        <w:jc w:val="right"/>
        <w:rPr>
          <w:lang w:val="en-GB"/>
        </w:rPr>
      </w:pPr>
      <w:r>
        <w:rPr>
          <w:lang w:val="en-GB"/>
        </w:rPr>
        <w:t>January 2023</w:t>
      </w:r>
    </w:p>
    <w:p w14:paraId="074612F5" w14:textId="77777777" w:rsidR="00E2619A" w:rsidRPr="00B31774" w:rsidRDefault="00E2619A" w:rsidP="00BB5636">
      <w:pPr>
        <w:pStyle w:val="BodyText"/>
        <w:spacing w:before="1"/>
        <w:ind w:left="0"/>
        <w:contextualSpacing/>
        <w:jc w:val="right"/>
        <w:rPr>
          <w:lang w:val="en-GB"/>
        </w:rPr>
      </w:pPr>
    </w:p>
    <w:p w14:paraId="336D09B7" w14:textId="77777777" w:rsidR="00E2619A" w:rsidRDefault="00E2619A" w:rsidP="00BB5636">
      <w:pPr>
        <w:pStyle w:val="Heading1"/>
        <w:contextualSpacing/>
        <w:jc w:val="both"/>
        <w:rPr>
          <w:lang w:val="en-GB"/>
        </w:rPr>
      </w:pPr>
    </w:p>
    <w:p w14:paraId="17968B13" w14:textId="265203EB" w:rsidR="00381D84" w:rsidRPr="00690A28" w:rsidRDefault="009B628D" w:rsidP="00BB5636">
      <w:pPr>
        <w:pStyle w:val="Heading1"/>
        <w:contextualSpacing/>
        <w:jc w:val="both"/>
        <w:rPr>
          <w:lang w:val="en-GB"/>
        </w:rPr>
      </w:pPr>
      <w:r w:rsidRPr="00690A28">
        <w:rPr>
          <w:lang w:val="en-GB"/>
        </w:rPr>
        <w:t>GENESTA</w:t>
      </w:r>
      <w:r w:rsidRPr="00690A28">
        <w:rPr>
          <w:spacing w:val="-3"/>
          <w:lang w:val="en-GB"/>
        </w:rPr>
        <w:t xml:space="preserve"> </w:t>
      </w:r>
      <w:r w:rsidRPr="00690A28">
        <w:rPr>
          <w:lang w:val="en-GB"/>
        </w:rPr>
        <w:t>NORDIC</w:t>
      </w:r>
      <w:r w:rsidRPr="00690A28">
        <w:rPr>
          <w:spacing w:val="-1"/>
          <w:lang w:val="en-GB"/>
        </w:rPr>
        <w:t xml:space="preserve"> </w:t>
      </w:r>
      <w:r w:rsidRPr="00690A28">
        <w:rPr>
          <w:lang w:val="en-GB"/>
        </w:rPr>
        <w:t>REAL</w:t>
      </w:r>
      <w:r w:rsidRPr="00690A28">
        <w:rPr>
          <w:spacing w:val="-3"/>
          <w:lang w:val="en-GB"/>
        </w:rPr>
        <w:t xml:space="preserve"> </w:t>
      </w:r>
      <w:r w:rsidRPr="00690A28">
        <w:rPr>
          <w:lang w:val="en-GB"/>
        </w:rPr>
        <w:t>ESTATE</w:t>
      </w:r>
      <w:r w:rsidRPr="00690A28">
        <w:rPr>
          <w:spacing w:val="-3"/>
          <w:lang w:val="en-GB"/>
        </w:rPr>
        <w:t xml:space="preserve"> </w:t>
      </w:r>
      <w:r w:rsidR="00E312FB" w:rsidRPr="00E312FB">
        <w:rPr>
          <w:lang w:val="en-GB"/>
        </w:rPr>
        <w:t>CORE PLUS OPEN-ENDED</w:t>
      </w:r>
      <w:r w:rsidRPr="00690A28">
        <w:rPr>
          <w:lang w:val="en-GB"/>
        </w:rPr>
        <w:t>,</w:t>
      </w:r>
      <w:r w:rsidRPr="00690A28">
        <w:rPr>
          <w:spacing w:val="-2"/>
          <w:lang w:val="en-GB"/>
        </w:rPr>
        <w:t xml:space="preserve"> </w:t>
      </w:r>
      <w:r w:rsidRPr="00690A28">
        <w:rPr>
          <w:lang w:val="en-GB"/>
        </w:rPr>
        <w:t>FCP-RAIF</w:t>
      </w:r>
    </w:p>
    <w:p w14:paraId="05621C77" w14:textId="77777777" w:rsidR="00381D84" w:rsidRPr="008B502F" w:rsidRDefault="00381D84" w:rsidP="008B502F">
      <w:pPr>
        <w:tabs>
          <w:tab w:val="left" w:pos="1532"/>
          <w:tab w:val="left" w:pos="2524"/>
          <w:tab w:val="left" w:pos="3791"/>
          <w:tab w:val="left" w:pos="5093"/>
          <w:tab w:val="left" w:pos="6648"/>
          <w:tab w:val="left" w:pos="7289"/>
        </w:tabs>
        <w:ind w:left="138" w:right="137"/>
        <w:contextualSpacing/>
        <w:rPr>
          <w:b/>
          <w:sz w:val="18"/>
          <w:lang w:val="en-GB"/>
        </w:rPr>
      </w:pPr>
    </w:p>
    <w:p w14:paraId="25B02B35" w14:textId="3C08529C" w:rsidR="00E312FB" w:rsidRPr="00E86AE8" w:rsidRDefault="00E312FB" w:rsidP="00BB5636">
      <w:pPr>
        <w:tabs>
          <w:tab w:val="left" w:pos="1532"/>
          <w:tab w:val="left" w:pos="2524"/>
          <w:tab w:val="left" w:pos="3791"/>
          <w:tab w:val="left" w:pos="5093"/>
          <w:tab w:val="left" w:pos="6648"/>
          <w:tab w:val="left" w:pos="7289"/>
        </w:tabs>
        <w:ind w:left="138" w:right="137"/>
        <w:contextualSpacing/>
        <w:rPr>
          <w:b/>
          <w:sz w:val="18"/>
          <w:lang w:val="en-US"/>
        </w:rPr>
      </w:pPr>
      <w:r w:rsidRPr="00242C0D">
        <w:rPr>
          <w:b/>
          <w:sz w:val="18"/>
          <w:lang w:val="en-GB"/>
        </w:rPr>
        <w:t>Regulation (EU) 2019/2088 on sustainability-related disclosures in the financial services sector</w:t>
      </w:r>
      <w:r>
        <w:rPr>
          <w:b/>
          <w:sz w:val="18"/>
          <w:lang w:val="en-GB"/>
        </w:rPr>
        <w:t>, also referred to as the Sustainable Finance Disclosure Regulation (</w:t>
      </w:r>
      <w:r w:rsidR="008B502F">
        <w:rPr>
          <w:b/>
          <w:sz w:val="18"/>
          <w:lang w:val="en-GB"/>
        </w:rPr>
        <w:t>“</w:t>
      </w:r>
      <w:r>
        <w:rPr>
          <w:b/>
          <w:sz w:val="18"/>
          <w:lang w:val="en-GB"/>
        </w:rPr>
        <w:t>SFDR</w:t>
      </w:r>
      <w:r w:rsidR="008B502F">
        <w:rPr>
          <w:b/>
          <w:sz w:val="18"/>
          <w:lang w:val="en-GB"/>
        </w:rPr>
        <w:t>”</w:t>
      </w:r>
      <w:r>
        <w:rPr>
          <w:b/>
          <w:sz w:val="18"/>
          <w:lang w:val="en-GB"/>
        </w:rPr>
        <w:t>)</w:t>
      </w:r>
      <w:r w:rsidRPr="00EC3475" w:rsidDel="006841FB">
        <w:rPr>
          <w:b/>
          <w:sz w:val="18"/>
          <w:lang w:val="en-GB"/>
        </w:rPr>
        <w:t xml:space="preserve"> </w:t>
      </w:r>
    </w:p>
    <w:p w14:paraId="72764D8B" w14:textId="77777777" w:rsidR="00E312FB" w:rsidRPr="008B502F" w:rsidRDefault="00E312FB" w:rsidP="008B502F">
      <w:pPr>
        <w:tabs>
          <w:tab w:val="left" w:pos="1532"/>
          <w:tab w:val="left" w:pos="2524"/>
          <w:tab w:val="left" w:pos="3791"/>
          <w:tab w:val="left" w:pos="5093"/>
          <w:tab w:val="left" w:pos="6648"/>
          <w:tab w:val="left" w:pos="7289"/>
        </w:tabs>
        <w:ind w:left="138" w:right="137"/>
        <w:contextualSpacing/>
        <w:rPr>
          <w:b/>
          <w:sz w:val="18"/>
          <w:lang w:val="en-GB"/>
        </w:rPr>
      </w:pPr>
      <w:r w:rsidRPr="008B502F">
        <w:rPr>
          <w:b/>
          <w:noProof/>
          <w:sz w:val="18"/>
          <w:lang w:val="en-GB"/>
        </w:rPr>
        <mc:AlternateContent>
          <mc:Choice Requires="wps">
            <w:drawing>
              <wp:anchor distT="0" distB="0" distL="0" distR="0" simplePos="0" relativeHeight="251658240" behindDoc="1" locked="0" layoutInCell="1" allowOverlap="1" wp14:anchorId="223DF974" wp14:editId="3E9790B0">
                <wp:simplePos x="0" y="0"/>
                <wp:positionH relativeFrom="page">
                  <wp:posOffset>1123315</wp:posOffset>
                </wp:positionH>
                <wp:positionV relativeFrom="paragraph">
                  <wp:posOffset>241935</wp:posOffset>
                </wp:positionV>
                <wp:extent cx="5315585" cy="1270"/>
                <wp:effectExtent l="8890" t="10795" r="9525" b="698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5585" cy="1270"/>
                        </a:xfrm>
                        <a:custGeom>
                          <a:avLst/>
                          <a:gdLst>
                            <a:gd name="T0" fmla="+- 0 1769 1769"/>
                            <a:gd name="T1" fmla="*/ T0 w 8371"/>
                            <a:gd name="T2" fmla="+- 0 10140 1769"/>
                            <a:gd name="T3" fmla="*/ T2 w 8371"/>
                          </a:gdLst>
                          <a:ahLst/>
                          <a:cxnLst>
                            <a:cxn ang="0">
                              <a:pos x="T1" y="0"/>
                            </a:cxn>
                            <a:cxn ang="0">
                              <a:pos x="T3" y="0"/>
                            </a:cxn>
                          </a:cxnLst>
                          <a:rect l="0" t="0" r="r" b="b"/>
                          <a:pathLst>
                            <a:path w="8371">
                              <a:moveTo>
                                <a:pt x="0" y="0"/>
                              </a:moveTo>
                              <a:lnTo>
                                <a:pt x="837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2CC499B" id="Freeform: Shape 7" o:spid="_x0000_s1026" style="position:absolute;margin-left:88.45pt;margin-top:19.05pt;width:418.5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GzsgIAAMUFAAAOAAAAZHJzL2Uyb0RvYy54bWysVNtu2zAMfR+wfxD0uKG1nebSGnWKoVmH&#10;Ad1WoNkHKLIcG5NFTVLiZF8/SrJTN8NehvlBkMyjQ/JQ5O3doZVkL4xtQBU0u0wpEYpD2ahtQb+v&#10;Hy6uKbGOqZJJUKKgR2Hp3fLtm9tO52ICNchSGIIkyuadLmjtnM6TxPJatMxeghYKjRWYljk8mm1S&#10;GtYheyuTSZrOkw5MqQ1wYS3+XUUjXQb+qhLcfasqKxyRBcXYXFhNWDd+TZa3LN8apuuG92Gwf4ii&#10;ZY1CpyeqFXOM7EzzB1XbcAMWKnfJoU2gqhouQg6YTZaeZfNcMy1CLiiO1SeZ7P+j5V/3T4Y0ZUEX&#10;lCjWYokejBBe8JwE/2ThReq0zRH7rJ+MT9PqR+A/LBqSVxZ/sIghm+4LlEjGdg6CMIfKtP4mpkwO&#10;Qf/jSX9xcITjz9lVNptdzyjhaMsmi1CehOXDXb6z7pOAwMP2j9bF6pW4C9qXfQZrrHTVSizk+wuS&#10;kmwxvwlLX+0TLBtg7xKyTklHrq8W2TloMoAiV5pNI+M57mrAebLJiAwT2A4hsnqImh9UHzbuCPPt&#10;kgahNFgv0BqDGxRCBgT5FP+CRd/n2Hind2GwD847wFCCHbCJaWjmfGTehd+SrqBBC/+jhb1YQzC5&#10;s9KhkxerVGNUuD6OKprxhneA7yZuglMf66i0Ch4aKUNtpfKhzNObedDGgmxKb/TRWLPd3EtD9sz3&#10;dvh8Mkj2CqaNdStm64izR7sCF5M2sFNlcFMLVn7s9441Mu6RSaLq4YX7Rx27YAPlER+4gThLcPbh&#10;pgbzi5IO50hB7c8dM4IS+Vlho95k06kfPOEwnS0meDBjy2ZsYYojVUEdxSfht/cuDqudNs22Rk9Z&#10;EELBB2ysqvEdEOKLUfUHnBVBh36u+WE0PgfUy/Rd/gYAAP//AwBQSwMEFAAGAAgAAAAhABmN3V3h&#10;AAAACgEAAA8AAABkcnMvZG93bnJldi54bWxMj0FPwkAQhe8m/ofNmHgxsq0IQu2WGBNjonKgagi3&#10;pTu0Dd3ZprtA+fdOT3h8b768eS9d9LYRR+x87UhBPIpAIBXO1FQq+Pl+u5+B8EGT0Y0jVHBGD4vs&#10;+irViXEnWuExD6XgEPKJVlCF0CZS+qJCq/3ItUh827nO6sCyK6Xp9InDbSMfomgqra6JP1S6xdcK&#10;i31+sArW71/7fjPBpZe/y93H6vN8V89zpW5v+pdnEAH7cIFhqM/VIeNOW3cg40XD+mk6Z1TBeBaD&#10;GIAofuR128EZg8xS+X9C9gcAAP//AwBQSwECLQAUAAYACAAAACEAtoM4kv4AAADhAQAAEwAAAAAA&#10;AAAAAAAAAAAAAAAAW0NvbnRlbnRfVHlwZXNdLnhtbFBLAQItABQABgAIAAAAIQA4/SH/1gAAAJQB&#10;AAALAAAAAAAAAAAAAAAAAC8BAABfcmVscy8ucmVsc1BLAQItABQABgAIAAAAIQBTzvGzsgIAAMUF&#10;AAAOAAAAAAAAAAAAAAAAAC4CAABkcnMvZTJvRG9jLnhtbFBLAQItABQABgAIAAAAIQAZjd1d4QAA&#10;AAoBAAAPAAAAAAAAAAAAAAAAAAwFAABkcnMvZG93bnJldi54bWxQSwUGAAAAAAQABADzAAAAGgYA&#10;AAAA&#10;" path="m,l8371,e" filled="f" strokeweight=".48pt">
                <v:stroke dashstyle="1 1"/>
                <v:path arrowok="t" o:connecttype="custom" o:connectlocs="0,0;5315585,0" o:connectangles="0,0"/>
                <w10:wrap type="topAndBottom" anchorx="page"/>
              </v:shape>
            </w:pict>
          </mc:Fallback>
        </mc:AlternateContent>
      </w:r>
    </w:p>
    <w:p w14:paraId="6DB6883D" w14:textId="77777777" w:rsidR="00BB5636" w:rsidRDefault="00BB5636" w:rsidP="00BB5636">
      <w:pPr>
        <w:pStyle w:val="BodyText"/>
        <w:spacing w:before="114"/>
        <w:ind w:left="138" w:right="134"/>
        <w:contextualSpacing/>
        <w:jc w:val="both"/>
        <w:rPr>
          <w:lang w:val="en-GB"/>
        </w:rPr>
      </w:pPr>
    </w:p>
    <w:p w14:paraId="1A863189" w14:textId="3E941F8C" w:rsidR="00E312FB" w:rsidRDefault="00E312FB" w:rsidP="001F5AEE">
      <w:pPr>
        <w:pStyle w:val="BodyText"/>
        <w:spacing w:before="114" w:after="120"/>
        <w:ind w:left="136" w:right="136"/>
        <w:jc w:val="both"/>
        <w:rPr>
          <w:lang w:val="en-GB"/>
        </w:rPr>
      </w:pPr>
      <w:r w:rsidRPr="00EC3475">
        <w:rPr>
          <w:lang w:val="en-GB"/>
        </w:rPr>
        <w:t>Genesta Nordic Capital Fund Management S.à r.l. (“</w:t>
      </w:r>
      <w:r w:rsidRPr="00EC3475">
        <w:rPr>
          <w:b/>
          <w:lang w:val="en-GB"/>
        </w:rPr>
        <w:t>Genesta</w:t>
      </w:r>
      <w:r w:rsidRPr="00EC3475">
        <w:rPr>
          <w:lang w:val="en-GB"/>
        </w:rPr>
        <w:t xml:space="preserve">”), </w:t>
      </w:r>
      <w:r w:rsidR="00CC0DC2">
        <w:rPr>
          <w:lang w:val="en-GB"/>
        </w:rPr>
        <w:t>a</w:t>
      </w:r>
      <w:r w:rsidR="00CC0DC2" w:rsidRPr="00EC3475">
        <w:rPr>
          <w:lang w:val="en-GB"/>
        </w:rPr>
        <w:t xml:space="preserve"> </w:t>
      </w:r>
      <w:r w:rsidRPr="00EC3475">
        <w:rPr>
          <w:lang w:val="en-GB"/>
        </w:rPr>
        <w:t>Luxembourg</w:t>
      </w:r>
      <w:r w:rsidRPr="00EC3475">
        <w:rPr>
          <w:spacing w:val="1"/>
          <w:lang w:val="en-GB"/>
        </w:rPr>
        <w:t xml:space="preserve"> </w:t>
      </w:r>
      <w:r w:rsidRPr="00EC3475">
        <w:rPr>
          <w:lang w:val="en-GB"/>
        </w:rPr>
        <w:t>alternative investment fund manager, makes the following disclosures in accordance with</w:t>
      </w:r>
      <w:r w:rsidRPr="00EC3475">
        <w:rPr>
          <w:spacing w:val="1"/>
          <w:lang w:val="en-GB"/>
        </w:rPr>
        <w:t xml:space="preserve"> </w:t>
      </w:r>
      <w:r w:rsidRPr="00EC3475">
        <w:rPr>
          <w:lang w:val="en-GB"/>
        </w:rPr>
        <w:t>Article</w:t>
      </w:r>
      <w:r>
        <w:rPr>
          <w:lang w:val="en-GB"/>
        </w:rPr>
        <w:t xml:space="preserve"> 10 </w:t>
      </w:r>
      <w:r w:rsidRPr="00EC3475">
        <w:rPr>
          <w:lang w:val="en-GB"/>
        </w:rPr>
        <w:t>of</w:t>
      </w:r>
      <w:r w:rsidRPr="00EC3475">
        <w:rPr>
          <w:spacing w:val="-3"/>
          <w:lang w:val="en-GB"/>
        </w:rPr>
        <w:t xml:space="preserve"> </w:t>
      </w:r>
      <w:r w:rsidRPr="00EC3475">
        <w:rPr>
          <w:lang w:val="en-GB"/>
        </w:rPr>
        <w:t>the</w:t>
      </w:r>
      <w:r w:rsidRPr="00EC3475">
        <w:rPr>
          <w:spacing w:val="-1"/>
          <w:lang w:val="en-GB"/>
        </w:rPr>
        <w:t xml:space="preserve"> </w:t>
      </w:r>
      <w:r w:rsidR="0040253F" w:rsidRPr="00F73550">
        <w:rPr>
          <w:lang w:val="en-GB"/>
        </w:rPr>
        <w:t>SFDR</w:t>
      </w:r>
      <w:r w:rsidR="0040253F" w:rsidRPr="0040253F">
        <w:rPr>
          <w:lang w:val="en-GB"/>
        </w:rPr>
        <w:t xml:space="preserve">. </w:t>
      </w:r>
    </w:p>
    <w:p w14:paraId="7BFD1420" w14:textId="77777777" w:rsidR="00577407" w:rsidRDefault="00577407" w:rsidP="001F5AEE">
      <w:pPr>
        <w:pStyle w:val="BodyText"/>
        <w:spacing w:before="114" w:after="120"/>
        <w:ind w:left="136" w:right="136"/>
        <w:jc w:val="both"/>
        <w:rPr>
          <w:lang w:val="en-GB"/>
        </w:rPr>
      </w:pPr>
    </w:p>
    <w:p w14:paraId="75821318" w14:textId="26A4F27F" w:rsidR="00B31774" w:rsidRDefault="00B31774" w:rsidP="00BB5636">
      <w:pPr>
        <w:pStyle w:val="Heading1"/>
        <w:contextualSpacing/>
        <w:jc w:val="both"/>
        <w:rPr>
          <w:lang w:val="en-GB"/>
        </w:rPr>
      </w:pPr>
      <w:r>
        <w:rPr>
          <w:lang w:val="en-GB"/>
        </w:rPr>
        <w:t>SUSTANABILITY-RELATED DISCLOSURES</w:t>
      </w:r>
      <w:r w:rsidR="005738AE">
        <w:rPr>
          <w:lang w:val="en-GB"/>
        </w:rPr>
        <w:t xml:space="preserve"> – SFDR ARTICLE 10</w:t>
      </w:r>
    </w:p>
    <w:p w14:paraId="15A4B218" w14:textId="538B0F4E" w:rsidR="00BB5636" w:rsidRDefault="00C35B42" w:rsidP="001F5AEE">
      <w:pPr>
        <w:pStyle w:val="BodyText"/>
        <w:spacing w:before="114" w:after="120"/>
        <w:ind w:left="136" w:right="136"/>
        <w:jc w:val="both"/>
        <w:rPr>
          <w:lang w:val="en-GB"/>
        </w:rPr>
      </w:pPr>
      <w:r w:rsidRPr="00C35B42">
        <w:rPr>
          <w:lang w:val="en-GB"/>
        </w:rPr>
        <w:t>According to Article 10 of the SFDR, financial market participants shall publish and maintain information for each financial product on their websites.</w:t>
      </w:r>
    </w:p>
    <w:p w14:paraId="4E37C561" w14:textId="18D70E30" w:rsidR="00C35B42" w:rsidRPr="00C35B42" w:rsidRDefault="00C35B42" w:rsidP="001F5AEE">
      <w:pPr>
        <w:pStyle w:val="BodyText"/>
        <w:spacing w:before="114" w:after="120"/>
        <w:ind w:left="136" w:right="136"/>
        <w:jc w:val="both"/>
        <w:rPr>
          <w:lang w:val="en-GB"/>
        </w:rPr>
      </w:pPr>
    </w:p>
    <w:p w14:paraId="1F31B93E" w14:textId="30D3F3AB" w:rsidR="00F02865" w:rsidRPr="00F02865" w:rsidRDefault="00F02865" w:rsidP="001F5AEE">
      <w:pPr>
        <w:pStyle w:val="BodyText"/>
        <w:keepNext/>
        <w:spacing w:before="114"/>
        <w:ind w:left="136" w:right="136"/>
        <w:contextualSpacing/>
        <w:jc w:val="both"/>
        <w:rPr>
          <w:b/>
          <w:bCs/>
          <w:lang w:val="en-GB"/>
        </w:rPr>
      </w:pPr>
      <w:r w:rsidRPr="00F02865">
        <w:rPr>
          <w:b/>
          <w:bCs/>
          <w:lang w:val="en-GB"/>
        </w:rPr>
        <w:t>S</w:t>
      </w:r>
      <w:r>
        <w:rPr>
          <w:b/>
          <w:bCs/>
          <w:lang w:val="en-GB"/>
        </w:rPr>
        <w:t>u</w:t>
      </w:r>
      <w:r w:rsidRPr="00F02865">
        <w:rPr>
          <w:b/>
          <w:bCs/>
          <w:lang w:val="en-GB"/>
        </w:rPr>
        <w:t>mmary</w:t>
      </w:r>
    </w:p>
    <w:p w14:paraId="5A7C9EA9" w14:textId="0B8119FC" w:rsidR="00E312FB" w:rsidRDefault="005738AE" w:rsidP="001F5AEE">
      <w:pPr>
        <w:pStyle w:val="BodyText"/>
        <w:spacing w:before="114" w:after="120"/>
        <w:ind w:left="136" w:right="136"/>
        <w:jc w:val="both"/>
        <w:rPr>
          <w:lang w:val="en-GB"/>
        </w:rPr>
      </w:pPr>
      <w:r w:rsidRPr="005738AE">
        <w:rPr>
          <w:lang w:val="en-GB"/>
        </w:rPr>
        <w:t>Genesta Nordic Real Estate Core Plus Open-Ended, FCP-RAIF</w:t>
      </w:r>
      <w:r>
        <w:rPr>
          <w:lang w:val="en-GB"/>
        </w:rPr>
        <w:t xml:space="preserve"> (the </w:t>
      </w:r>
      <w:r w:rsidR="0040253F">
        <w:rPr>
          <w:lang w:val="en-GB"/>
        </w:rPr>
        <w:t>“</w:t>
      </w:r>
      <w:r w:rsidRPr="00C16381">
        <w:rPr>
          <w:b/>
          <w:bCs/>
          <w:lang w:val="en-GB"/>
        </w:rPr>
        <w:t>Fund</w:t>
      </w:r>
      <w:r w:rsidR="0040253F">
        <w:rPr>
          <w:lang w:val="en-GB"/>
        </w:rPr>
        <w:t>”</w:t>
      </w:r>
      <w:r>
        <w:rPr>
          <w:lang w:val="en-GB"/>
        </w:rPr>
        <w:t>)</w:t>
      </w:r>
      <w:r w:rsidR="00F02865" w:rsidRPr="001F5AEE">
        <w:rPr>
          <w:lang w:val="en-GB"/>
        </w:rPr>
        <w:t xml:space="preserve"> </w:t>
      </w:r>
      <w:r w:rsidR="00F02865" w:rsidRPr="00F02865">
        <w:rPr>
          <w:lang w:val="en-GB"/>
        </w:rPr>
        <w:t>qualifies as a financial product as referred to in Article 8 of the SFDR</w:t>
      </w:r>
      <w:r w:rsidR="00357336">
        <w:rPr>
          <w:lang w:val="en-GB"/>
        </w:rPr>
        <w:t xml:space="preserve"> given that it</w:t>
      </w:r>
      <w:r w:rsidR="00F02865" w:rsidRPr="00F02865">
        <w:rPr>
          <w:lang w:val="en-GB"/>
        </w:rPr>
        <w:t xml:space="preserve"> promotes environmental </w:t>
      </w:r>
      <w:r w:rsidR="00AD38CA">
        <w:rPr>
          <w:lang w:val="en-GB"/>
        </w:rPr>
        <w:t xml:space="preserve">and social </w:t>
      </w:r>
      <w:r w:rsidR="00F02865" w:rsidRPr="00F02865">
        <w:rPr>
          <w:lang w:val="en-GB"/>
        </w:rPr>
        <w:t>characteristics</w:t>
      </w:r>
      <w:r w:rsidR="00F02865">
        <w:rPr>
          <w:lang w:val="en-GB"/>
        </w:rPr>
        <w:t xml:space="preserve">. </w:t>
      </w:r>
    </w:p>
    <w:p w14:paraId="43151EE4" w14:textId="77777777" w:rsidR="00BB5636" w:rsidRDefault="00BB5636" w:rsidP="001F5AEE">
      <w:pPr>
        <w:pStyle w:val="BodyText"/>
        <w:spacing w:before="114" w:after="120"/>
        <w:ind w:left="136" w:right="136"/>
        <w:jc w:val="both"/>
        <w:rPr>
          <w:lang w:val="en-GB"/>
        </w:rPr>
      </w:pPr>
    </w:p>
    <w:p w14:paraId="2ED3BC60" w14:textId="2E0561AF" w:rsidR="005738AE" w:rsidRPr="00C35B42" w:rsidRDefault="00C35B42" w:rsidP="001F5AEE">
      <w:pPr>
        <w:pStyle w:val="BodyText"/>
        <w:keepNext/>
        <w:spacing w:before="114"/>
        <w:ind w:left="136" w:right="136"/>
        <w:contextualSpacing/>
        <w:jc w:val="both"/>
        <w:rPr>
          <w:b/>
          <w:bCs/>
          <w:lang w:val="en-GB"/>
        </w:rPr>
      </w:pPr>
      <w:r w:rsidRPr="00C35B42">
        <w:rPr>
          <w:b/>
          <w:bCs/>
          <w:lang w:val="en-GB"/>
        </w:rPr>
        <w:t>No sustainable investment objective</w:t>
      </w:r>
    </w:p>
    <w:p w14:paraId="5CF61825" w14:textId="368C4F8D" w:rsidR="00BB5636" w:rsidRDefault="00835224" w:rsidP="001F5AEE">
      <w:pPr>
        <w:pStyle w:val="BodyText"/>
        <w:spacing w:before="114" w:after="120"/>
        <w:ind w:left="136" w:right="136"/>
        <w:jc w:val="both"/>
        <w:rPr>
          <w:lang w:val="en-GB"/>
        </w:rPr>
      </w:pPr>
      <w:r w:rsidRPr="00835224">
        <w:rPr>
          <w:lang w:val="en-GB"/>
        </w:rPr>
        <w:t xml:space="preserve">The Fund promotes environmental or social </w:t>
      </w:r>
      <w:r w:rsidR="00E86AE8" w:rsidRPr="00835224">
        <w:rPr>
          <w:lang w:val="en-GB"/>
        </w:rPr>
        <w:t>characteristics, but</w:t>
      </w:r>
      <w:r w:rsidRPr="00835224">
        <w:rPr>
          <w:lang w:val="en-GB"/>
        </w:rPr>
        <w:t xml:space="preserve"> does not have as its</w:t>
      </w:r>
      <w:r w:rsidR="00124EEA">
        <w:rPr>
          <w:lang w:val="en-GB"/>
        </w:rPr>
        <w:t xml:space="preserve"> </w:t>
      </w:r>
      <w:r w:rsidRPr="00835224">
        <w:rPr>
          <w:lang w:val="en-GB"/>
        </w:rPr>
        <w:t>objective sustainable investment.</w:t>
      </w:r>
    </w:p>
    <w:p w14:paraId="1558AC40" w14:textId="05D4D41B" w:rsidR="00073942" w:rsidRDefault="00073942" w:rsidP="001F5AEE">
      <w:pPr>
        <w:pStyle w:val="BodyText"/>
        <w:spacing w:before="114" w:after="120"/>
        <w:ind w:left="136" w:right="136"/>
        <w:jc w:val="both"/>
        <w:rPr>
          <w:lang w:val="en-GB"/>
        </w:rPr>
      </w:pPr>
    </w:p>
    <w:p w14:paraId="3E83C95A" w14:textId="028364F0" w:rsidR="00C35B42" w:rsidRDefault="00C35B42" w:rsidP="001F5AEE">
      <w:pPr>
        <w:pStyle w:val="BodyText"/>
        <w:keepNext/>
        <w:spacing w:before="114"/>
        <w:ind w:left="136" w:right="136"/>
        <w:contextualSpacing/>
        <w:jc w:val="both"/>
        <w:rPr>
          <w:b/>
          <w:bCs/>
          <w:lang w:val="en-GB"/>
        </w:rPr>
      </w:pPr>
      <w:r w:rsidRPr="00C35B42">
        <w:rPr>
          <w:b/>
          <w:bCs/>
          <w:lang w:val="en-GB"/>
        </w:rPr>
        <w:t>Environmental or social characteristics of the financial product</w:t>
      </w:r>
    </w:p>
    <w:p w14:paraId="5EDC5746" w14:textId="16FCB960" w:rsidR="00447DE1" w:rsidRPr="0008386F" w:rsidRDefault="00F05A10" w:rsidP="001F5AEE">
      <w:pPr>
        <w:pStyle w:val="BodyText"/>
        <w:spacing w:before="114" w:after="120"/>
        <w:ind w:left="136" w:right="136"/>
        <w:jc w:val="both"/>
        <w:rPr>
          <w:lang w:val="en-GB"/>
        </w:rPr>
      </w:pPr>
      <w:r w:rsidRPr="00F05A10">
        <w:rPr>
          <w:lang w:val="en-GB"/>
        </w:rPr>
        <w:t xml:space="preserve">The environmental characteristics promoted by the Fund for the underlying </w:t>
      </w:r>
      <w:r>
        <w:rPr>
          <w:lang w:val="en-GB"/>
        </w:rPr>
        <w:t>real estate assets</w:t>
      </w:r>
      <w:r w:rsidRPr="00F05A10">
        <w:rPr>
          <w:lang w:val="en-GB"/>
        </w:rPr>
        <w:t xml:space="preserve"> are addressed through the following topics: alignment</w:t>
      </w:r>
      <w:r w:rsidR="003057AE">
        <w:rPr>
          <w:lang w:val="en-GB"/>
        </w:rPr>
        <w:t xml:space="preserve"> with </w:t>
      </w:r>
      <w:r w:rsidR="002D3051" w:rsidRPr="002D3051">
        <w:rPr>
          <w:lang w:val="en-GB"/>
        </w:rPr>
        <w:t xml:space="preserve">Regulation (EU) 2020/852 of the European Parliament and of the Council of 18 June 2020 on the establishment of a framework to facilitate sustainable investment, and amending Regulation EUR 2019/2088 </w:t>
      </w:r>
      <w:r w:rsidR="00F0709F">
        <w:rPr>
          <w:lang w:val="en-GB"/>
        </w:rPr>
        <w:t>(“</w:t>
      </w:r>
      <w:r w:rsidR="003057AE" w:rsidRPr="00F0709F">
        <w:rPr>
          <w:b/>
          <w:bCs/>
          <w:lang w:val="en-GB"/>
        </w:rPr>
        <w:t>EU Taxonomy</w:t>
      </w:r>
      <w:r w:rsidR="00F0709F">
        <w:rPr>
          <w:lang w:val="en-GB"/>
        </w:rPr>
        <w:t>”)</w:t>
      </w:r>
      <w:r w:rsidRPr="00F05A10">
        <w:rPr>
          <w:lang w:val="en-GB"/>
        </w:rPr>
        <w:t xml:space="preserve">, net-zero carbon targets, active property renovation strategies to increase energy efficiency and to mitigate climate risks and circular economy. The social characteristics promoted by the Fund for the underlying </w:t>
      </w:r>
      <w:r>
        <w:rPr>
          <w:lang w:val="en-GB"/>
        </w:rPr>
        <w:t>real estate assets</w:t>
      </w:r>
      <w:r w:rsidRPr="00F05A10">
        <w:rPr>
          <w:lang w:val="en-GB"/>
        </w:rPr>
        <w:t xml:space="preserve"> are addressed through community, supplier and tenant engagement efforts.</w:t>
      </w:r>
    </w:p>
    <w:p w14:paraId="2838655E" w14:textId="16958557" w:rsidR="00EC0470" w:rsidRPr="0008386F" w:rsidRDefault="00EC0470" w:rsidP="001F5AEE">
      <w:pPr>
        <w:pStyle w:val="BodyText"/>
        <w:spacing w:before="114" w:after="120"/>
        <w:ind w:left="136" w:right="136"/>
        <w:jc w:val="both"/>
        <w:rPr>
          <w:lang w:val="en-GB"/>
        </w:rPr>
      </w:pPr>
    </w:p>
    <w:p w14:paraId="60BE4FB0" w14:textId="522AF822" w:rsidR="000F1116" w:rsidRDefault="00C35B42" w:rsidP="001F5AEE">
      <w:pPr>
        <w:pStyle w:val="BodyText"/>
        <w:keepNext/>
        <w:spacing w:before="114"/>
        <w:ind w:left="136" w:right="136"/>
        <w:contextualSpacing/>
        <w:jc w:val="both"/>
        <w:rPr>
          <w:b/>
          <w:bCs/>
          <w:lang w:val="en-GB"/>
        </w:rPr>
      </w:pPr>
      <w:r w:rsidRPr="00C35B42">
        <w:rPr>
          <w:b/>
          <w:bCs/>
          <w:lang w:val="en-GB"/>
        </w:rPr>
        <w:t>Investment strategy</w:t>
      </w:r>
    </w:p>
    <w:p w14:paraId="08091EC9" w14:textId="1DBC7CAD" w:rsidR="00D35004" w:rsidRDefault="00F962B1" w:rsidP="00F962B1">
      <w:pPr>
        <w:pStyle w:val="BodyText"/>
        <w:spacing w:before="114" w:after="120"/>
        <w:ind w:left="136" w:right="136"/>
        <w:jc w:val="both"/>
        <w:rPr>
          <w:lang w:val="en-GB"/>
        </w:rPr>
      </w:pPr>
      <w:r w:rsidRPr="00F962B1">
        <w:rPr>
          <w:lang w:val="en-GB"/>
        </w:rPr>
        <w:t>The Fund promotes environmental and social characteristics, and a reference benchmark has been designated for the purpose of attaining the environmental or social characteristics promoted by the Fund. The characteristics promoted by the Fund will be measured according to the sustainability indicators in the tables below for (i) environmental targets</w:t>
      </w:r>
      <w:r w:rsidR="00A875CA">
        <w:rPr>
          <w:lang w:val="en-GB"/>
        </w:rPr>
        <w:t xml:space="preserve">, </w:t>
      </w:r>
      <w:r w:rsidRPr="00F962B1">
        <w:rPr>
          <w:lang w:val="en-GB"/>
        </w:rPr>
        <w:t>(ii) social engagement targets</w:t>
      </w:r>
      <w:r w:rsidR="00A875CA">
        <w:rPr>
          <w:lang w:val="en-GB"/>
        </w:rPr>
        <w:t xml:space="preserve"> </w:t>
      </w:r>
      <w:r w:rsidR="00A875CA">
        <w:rPr>
          <w:rFonts w:eastAsia="Arial Unicode MS" w:cs="Calibri"/>
          <w:bCs/>
          <w:szCs w:val="22"/>
          <w:lang w:val="en-GB"/>
        </w:rPr>
        <w:t>and (iii) governance targets</w:t>
      </w:r>
      <w:r w:rsidRPr="00F962B1">
        <w:rPr>
          <w:lang w:val="en-GB"/>
        </w:rPr>
        <w:t xml:space="preserve">. Such indicators will be measured for </w:t>
      </w:r>
      <w:r w:rsidR="00AF1F55">
        <w:rPr>
          <w:lang w:val="en-GB"/>
        </w:rPr>
        <w:t>real estate asset</w:t>
      </w:r>
      <w:r w:rsidRPr="00F962B1">
        <w:rPr>
          <w:lang w:val="en-GB"/>
        </w:rPr>
        <w:t xml:space="preserve">s except for such </w:t>
      </w:r>
      <w:r w:rsidR="00AF1F55">
        <w:rPr>
          <w:lang w:val="en-GB"/>
        </w:rPr>
        <w:t>real estate asset</w:t>
      </w:r>
      <w:r w:rsidRPr="00F962B1">
        <w:rPr>
          <w:lang w:val="en-GB"/>
        </w:rPr>
        <w:t xml:space="preserve">s pertaining to the residential sector and, hence, where reference is made to </w:t>
      </w:r>
      <w:r w:rsidR="00AF1F55">
        <w:rPr>
          <w:lang w:val="en-GB"/>
        </w:rPr>
        <w:t>real estate asset</w:t>
      </w:r>
      <w:r w:rsidRPr="00F962B1">
        <w:rPr>
          <w:lang w:val="en-GB"/>
        </w:rPr>
        <w:t xml:space="preserve">s in the tables below such reference is to be understood accordingly. The Fund may in its discretion implement measures indicated in the tables below for </w:t>
      </w:r>
      <w:r w:rsidR="00AF1F55">
        <w:rPr>
          <w:lang w:val="en-GB"/>
        </w:rPr>
        <w:t>real estate asset</w:t>
      </w:r>
      <w:r w:rsidRPr="00F962B1">
        <w:rPr>
          <w:lang w:val="en-GB"/>
        </w:rPr>
        <w:t>s pertaining to the residential sector where such implementation is considered feasible.</w:t>
      </w:r>
    </w:p>
    <w:p w14:paraId="41ACEBDC" w14:textId="77777777" w:rsidR="00D35004" w:rsidRPr="00AA6CF2" w:rsidRDefault="00D35004" w:rsidP="001F5AEE">
      <w:pPr>
        <w:pStyle w:val="BodyText"/>
        <w:spacing w:before="114" w:after="120"/>
        <w:ind w:left="136" w:right="136"/>
        <w:jc w:val="both"/>
        <w:rPr>
          <w:lang w:val="en-GB"/>
        </w:rPr>
      </w:pPr>
    </w:p>
    <w:p w14:paraId="3588984B" w14:textId="77777777" w:rsidR="00AA6CF2" w:rsidRPr="00897C43" w:rsidRDefault="00AA6CF2" w:rsidP="00AA6CF2">
      <w:pPr>
        <w:pStyle w:val="BodyText"/>
        <w:keepNext/>
        <w:spacing w:before="114" w:after="120"/>
        <w:ind w:left="136" w:right="136"/>
        <w:contextualSpacing/>
        <w:jc w:val="both"/>
        <w:rPr>
          <w:u w:val="single"/>
          <w:lang w:val="en-GB"/>
        </w:rPr>
      </w:pPr>
      <w:r w:rsidRPr="00897C43">
        <w:rPr>
          <w:u w:val="single"/>
          <w:lang w:val="en-GB"/>
        </w:rPr>
        <w:lastRenderedPageBreak/>
        <w:t>Environmental characteristics</w:t>
      </w:r>
    </w:p>
    <w:tbl>
      <w:tblPr>
        <w:tblStyle w:val="GenestaTable2"/>
        <w:tblW w:w="5769" w:type="pct"/>
        <w:tblInd w:w="135" w:type="dxa"/>
        <w:tblLook w:val="04A0" w:firstRow="1" w:lastRow="0" w:firstColumn="1" w:lastColumn="0" w:noHBand="0" w:noVBand="1"/>
      </w:tblPr>
      <w:tblGrid>
        <w:gridCol w:w="1075"/>
        <w:gridCol w:w="1545"/>
        <w:gridCol w:w="1835"/>
        <w:gridCol w:w="1835"/>
        <w:gridCol w:w="1852"/>
        <w:gridCol w:w="1712"/>
      </w:tblGrid>
      <w:tr w:rsidR="00AA6CF2" w:rsidRPr="00E86AE8" w14:paraId="4B435013" w14:textId="77777777" w:rsidTr="00553B6C">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545" w:type="pct"/>
          </w:tcPr>
          <w:p w14:paraId="54475168" w14:textId="77777777" w:rsidR="00AA6CF2" w:rsidRPr="00C835FF" w:rsidRDefault="00AA6CF2" w:rsidP="00553B6C">
            <w:pPr>
              <w:jc w:val="left"/>
              <w:rPr>
                <w:i w:val="0"/>
                <w:iCs/>
                <w:sz w:val="16"/>
                <w:lang w:val="en-GB"/>
              </w:rPr>
            </w:pPr>
            <w:r w:rsidRPr="00C835FF">
              <w:rPr>
                <w:i w:val="0"/>
                <w:iCs/>
                <w:sz w:val="16"/>
                <w:lang w:val="en-GB"/>
              </w:rPr>
              <w:t>Topic</w:t>
            </w:r>
          </w:p>
        </w:tc>
        <w:tc>
          <w:tcPr>
            <w:tcW w:w="784" w:type="pct"/>
          </w:tcPr>
          <w:p w14:paraId="4F0AECA8" w14:textId="77777777" w:rsidR="00AA6CF2" w:rsidRPr="00C835FF" w:rsidRDefault="00AA6CF2" w:rsidP="00553B6C">
            <w:pPr>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Description</w:t>
            </w:r>
          </w:p>
        </w:tc>
        <w:tc>
          <w:tcPr>
            <w:tcW w:w="931" w:type="pct"/>
          </w:tcPr>
          <w:p w14:paraId="7125B5C1" w14:textId="77777777" w:rsidR="00AA6CF2" w:rsidRPr="00C835FF" w:rsidRDefault="00AA6CF2" w:rsidP="00553B6C">
            <w:pPr>
              <w:jc w:val="left"/>
              <w:cnfStyle w:val="100000000000" w:firstRow="1" w:lastRow="0" w:firstColumn="0" w:lastColumn="0" w:oddVBand="0" w:evenVBand="0" w:oddHBand="0" w:evenHBand="0" w:firstRowFirstColumn="0" w:firstRowLastColumn="0" w:lastRowFirstColumn="0" w:lastRowLastColumn="0"/>
              <w:rPr>
                <w:b w:val="0"/>
                <w:i w:val="0"/>
                <w:iCs/>
                <w:sz w:val="16"/>
                <w:lang w:val="en-GB"/>
              </w:rPr>
            </w:pPr>
            <w:r w:rsidRPr="00C835FF">
              <w:rPr>
                <w:i w:val="0"/>
                <w:iCs/>
                <w:sz w:val="16"/>
                <w:lang w:val="en-GB"/>
              </w:rPr>
              <w:t>Long-Term Target (until 2030)</w:t>
            </w:r>
          </w:p>
        </w:tc>
        <w:tc>
          <w:tcPr>
            <w:tcW w:w="931" w:type="pct"/>
          </w:tcPr>
          <w:p w14:paraId="4EBAAD51" w14:textId="77777777" w:rsidR="00AA6CF2" w:rsidRPr="00C835FF" w:rsidRDefault="00AA6CF2" w:rsidP="00553B6C">
            <w:pPr>
              <w:jc w:val="left"/>
              <w:cnfStyle w:val="100000000000" w:firstRow="1" w:lastRow="0" w:firstColumn="0" w:lastColumn="0" w:oddVBand="0" w:evenVBand="0" w:oddHBand="0" w:evenHBand="0" w:firstRowFirstColumn="0" w:firstRowLastColumn="0" w:lastRowFirstColumn="0" w:lastRowLastColumn="0"/>
              <w:rPr>
                <w:b w:val="0"/>
                <w:i w:val="0"/>
                <w:iCs/>
                <w:sz w:val="16"/>
                <w:lang w:val="en-GB"/>
              </w:rPr>
            </w:pPr>
            <w:r w:rsidRPr="00C835FF">
              <w:rPr>
                <w:i w:val="0"/>
                <w:iCs/>
                <w:sz w:val="16"/>
                <w:lang w:val="en-GB"/>
              </w:rPr>
              <w:t>Measurements for Long-Term Targets</w:t>
            </w:r>
          </w:p>
        </w:tc>
        <w:tc>
          <w:tcPr>
            <w:tcW w:w="940" w:type="pct"/>
          </w:tcPr>
          <w:p w14:paraId="6A97CE2C" w14:textId="77777777" w:rsidR="00AA6CF2" w:rsidRPr="00C835FF" w:rsidRDefault="00AA6CF2" w:rsidP="00553B6C">
            <w:pPr>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Short-Term Targets (until end of 2023)</w:t>
            </w:r>
          </w:p>
        </w:tc>
        <w:tc>
          <w:tcPr>
            <w:tcW w:w="869" w:type="pct"/>
          </w:tcPr>
          <w:p w14:paraId="5CCD4E57" w14:textId="77777777" w:rsidR="00AA6CF2" w:rsidRPr="00C835FF" w:rsidRDefault="00AA6CF2" w:rsidP="00553B6C">
            <w:pPr>
              <w:ind w:right="169"/>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Measurements for Short-Term Targets</w:t>
            </w:r>
          </w:p>
        </w:tc>
      </w:tr>
      <w:tr w:rsidR="00AA6CF2" w:rsidRPr="00E86AE8" w14:paraId="0FD30912" w14:textId="77777777" w:rsidTr="00553B6C">
        <w:tblPrEx>
          <w:tblCellMar>
            <w:left w:w="108" w:type="dxa"/>
            <w:right w:w="108" w:type="dxa"/>
          </w:tblCellMar>
        </w:tblPrEx>
        <w:trPr>
          <w:trHeight w:val="1127"/>
        </w:trPr>
        <w:tc>
          <w:tcPr>
            <w:cnfStyle w:val="001000000000" w:firstRow="0" w:lastRow="0" w:firstColumn="1" w:lastColumn="0" w:oddVBand="0" w:evenVBand="0" w:oddHBand="0" w:evenHBand="0" w:firstRowFirstColumn="0" w:firstRowLastColumn="0" w:lastRowFirstColumn="0" w:lastRowLastColumn="0"/>
            <w:tcW w:w="545" w:type="pct"/>
          </w:tcPr>
          <w:p w14:paraId="7063B507" w14:textId="77777777" w:rsidR="00AA6CF2" w:rsidRPr="00C835FF" w:rsidRDefault="00AA6CF2" w:rsidP="00553B6C">
            <w:pPr>
              <w:rPr>
                <w:i w:val="0"/>
                <w:iCs/>
                <w:sz w:val="16"/>
                <w:lang w:val="en-GB"/>
              </w:rPr>
            </w:pPr>
            <w:r w:rsidRPr="00C835FF">
              <w:rPr>
                <w:i w:val="0"/>
                <w:iCs/>
                <w:sz w:val="16"/>
                <w:lang w:val="en-GB"/>
              </w:rPr>
              <w:t>EU Taxonomy</w:t>
            </w:r>
          </w:p>
        </w:tc>
        <w:tc>
          <w:tcPr>
            <w:tcW w:w="784" w:type="pct"/>
          </w:tcPr>
          <w:p w14:paraId="3C24BC5D"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The EU Taxonomy is a classification system for sustainable economic activities. Buying real estate and exercising ownership of that real estate is a Taxonomy eligible activity. In order to substantially contribute to the mitigation of climate change, real estate owners have to fulfill the technical screening criteria outlined in the Climate Delegated Act Annex 1 – Mitigation, 7.7 and as part of the ”do no significant harm” test screen the activity for potential physical climate risks to define mitigation plans for possible identified risks.</w:t>
            </w:r>
          </w:p>
        </w:tc>
        <w:tc>
          <w:tcPr>
            <w:tcW w:w="931" w:type="pct"/>
          </w:tcPr>
          <w:p w14:paraId="685B0823"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t>After the first investment cycle in 2028, 75% of the real estate assets of the Fund (based on market value) will be aligned with EU Taxonomy.</w:t>
            </w:r>
          </w:p>
        </w:tc>
        <w:tc>
          <w:tcPr>
            <w:tcW w:w="931" w:type="pct"/>
          </w:tcPr>
          <w:p w14:paraId="07540414"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Taxonomy aligned real estate assets (based on market value).</w:t>
            </w:r>
          </w:p>
        </w:tc>
        <w:tc>
          <w:tcPr>
            <w:tcW w:w="940" w:type="pct"/>
          </w:tcPr>
          <w:p w14:paraId="3D2D332E" w14:textId="77777777" w:rsidR="00AA6CF2" w:rsidRPr="00C835FF" w:rsidRDefault="00AA6CF2" w:rsidP="00F52BE9">
            <w:pPr>
              <w:pStyle w:val="ListParagraph"/>
              <w:numPr>
                <w:ilvl w:val="0"/>
                <w:numId w:val="7"/>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100% of real estate assets (based on market value) will undergo a gap analysis and an alignment action plan will be established within 4 months after acquisition to define measures in the real estate assets’ business plans to address any gaps.</w:t>
            </w:r>
          </w:p>
          <w:p w14:paraId="0A11433B" w14:textId="77777777" w:rsidR="00AA6CF2" w:rsidRPr="00C835FF" w:rsidRDefault="00AA6CF2" w:rsidP="00F52BE9">
            <w:pPr>
              <w:pStyle w:val="ListParagraph"/>
              <w:numPr>
                <w:ilvl w:val="0"/>
                <w:numId w:val="7"/>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t xml:space="preserve">50% of the </w:t>
            </w:r>
            <w:r w:rsidRPr="00C835FF">
              <w:rPr>
                <w:i w:val="0"/>
                <w:iCs/>
                <w:sz w:val="16"/>
                <w:lang w:val="en-GB"/>
              </w:rPr>
              <w:t>real estate assets</w:t>
            </w:r>
            <w:r w:rsidRPr="00C835FF">
              <w:rPr>
                <w:i w:val="0"/>
                <w:iCs/>
                <w:sz w:val="16"/>
                <w:szCs w:val="16"/>
                <w:lang w:val="en-GB"/>
              </w:rPr>
              <w:t xml:space="preserve"> of the Fund by market value will be aligned with the EU Taxonomy.</w:t>
            </w:r>
          </w:p>
        </w:tc>
        <w:tc>
          <w:tcPr>
            <w:tcW w:w="869" w:type="pct"/>
          </w:tcPr>
          <w:p w14:paraId="534CE7E7" w14:textId="77777777" w:rsidR="00AA6CF2" w:rsidRPr="00C835FF" w:rsidRDefault="00AA6CF2" w:rsidP="00F52BE9">
            <w:pPr>
              <w:pStyle w:val="ListParagraph"/>
              <w:numPr>
                <w:ilvl w:val="0"/>
                <w:numId w:val="8"/>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real estate assets (based on market value) for which a long-term action plan to align with the EU Taxonomy has been established.</w:t>
            </w:r>
          </w:p>
          <w:p w14:paraId="48696EF8" w14:textId="77777777" w:rsidR="00AA6CF2" w:rsidRPr="00C835FF" w:rsidRDefault="00AA6CF2" w:rsidP="00F52BE9">
            <w:pPr>
              <w:pStyle w:val="ListParagraph"/>
              <w:numPr>
                <w:ilvl w:val="0"/>
                <w:numId w:val="8"/>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Taxonomy aligned real estate assets (based on market value).</w:t>
            </w:r>
          </w:p>
        </w:tc>
      </w:tr>
      <w:tr w:rsidR="00AA6CF2" w:rsidRPr="00E86AE8" w14:paraId="425F5F9B" w14:textId="77777777" w:rsidTr="00553B6C">
        <w:tblPrEx>
          <w:tblCellMar>
            <w:left w:w="108" w:type="dxa"/>
            <w:right w:w="108" w:type="dxa"/>
          </w:tblCellMar>
        </w:tblPrEx>
        <w:trPr>
          <w:trHeight w:val="1127"/>
        </w:trPr>
        <w:tc>
          <w:tcPr>
            <w:cnfStyle w:val="001000000000" w:firstRow="0" w:lastRow="0" w:firstColumn="1" w:lastColumn="0" w:oddVBand="0" w:evenVBand="0" w:oddHBand="0" w:evenHBand="0" w:firstRowFirstColumn="0" w:firstRowLastColumn="0" w:lastRowFirstColumn="0" w:lastRowLastColumn="0"/>
            <w:tcW w:w="545" w:type="pct"/>
          </w:tcPr>
          <w:p w14:paraId="2E0FBD60" w14:textId="77777777" w:rsidR="00AA6CF2" w:rsidRPr="00C835FF" w:rsidRDefault="00AA6CF2" w:rsidP="00553B6C">
            <w:pPr>
              <w:rPr>
                <w:i w:val="0"/>
                <w:iCs/>
                <w:sz w:val="16"/>
                <w:lang w:val="en-GB"/>
              </w:rPr>
            </w:pPr>
            <w:r w:rsidRPr="00C835FF">
              <w:rPr>
                <w:i w:val="0"/>
                <w:iCs/>
                <w:sz w:val="16"/>
                <w:lang w:val="en-GB"/>
              </w:rPr>
              <w:t>Net-zero carbon</w:t>
            </w:r>
          </w:p>
        </w:tc>
        <w:tc>
          <w:tcPr>
            <w:tcW w:w="784" w:type="pct"/>
          </w:tcPr>
          <w:p w14:paraId="2CE0CA71"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Genesta will apply the concepts of the</w:t>
            </w:r>
            <w:r w:rsidRPr="00E86AE8">
              <w:rPr>
                <w:i w:val="0"/>
                <w:iCs/>
                <w:lang w:val="en-US"/>
              </w:rPr>
              <w:t xml:space="preserve"> </w:t>
            </w:r>
            <w:r w:rsidRPr="00C835FF">
              <w:rPr>
                <w:i w:val="0"/>
                <w:iCs/>
                <w:sz w:val="16"/>
                <w:lang w:val="en-GB"/>
              </w:rPr>
              <w:t>Science-Based Target initiative (“</w:t>
            </w:r>
            <w:r w:rsidRPr="00C835FF">
              <w:rPr>
                <w:b/>
                <w:bCs/>
                <w:i w:val="0"/>
                <w:iCs/>
                <w:sz w:val="16"/>
                <w:lang w:val="en-GB"/>
              </w:rPr>
              <w:t>SBTi</w:t>
            </w:r>
            <w:r w:rsidRPr="00C835FF">
              <w:rPr>
                <w:i w:val="0"/>
                <w:iCs/>
                <w:sz w:val="16"/>
                <w:lang w:val="en-GB"/>
              </w:rPr>
              <w:t xml:space="preserve">”) as a target setting method with a view to the Fund’s portfolio. The SBTi </w:t>
            </w:r>
            <w:r w:rsidRPr="00E86AE8">
              <w:rPr>
                <w:i w:val="0"/>
                <w:iCs/>
                <w:sz w:val="16"/>
                <w:lang w:val="en-US"/>
              </w:rPr>
              <w:t xml:space="preserve">targets </w:t>
            </w:r>
            <w:r w:rsidRPr="00C835FF">
              <w:rPr>
                <w:i w:val="0"/>
                <w:iCs/>
                <w:sz w:val="16"/>
                <w:lang w:val="en-GB"/>
              </w:rPr>
              <w:t xml:space="preserve">are Paris aligned and represent a leading and highly credible standard for carbon reduction ambitions guiding the way to net-zero. </w:t>
            </w:r>
          </w:p>
          <w:p w14:paraId="46C31E3A"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Onsite energy production shall be a priority for </w:t>
            </w:r>
            <w:r w:rsidRPr="00C835FF">
              <w:rPr>
                <w:i w:val="0"/>
                <w:iCs/>
                <w:sz w:val="16"/>
                <w:lang w:val="en-GB"/>
              </w:rPr>
              <w:lastRenderedPageBreak/>
              <w:t>all real estate assets.</w:t>
            </w:r>
          </w:p>
          <w:p w14:paraId="466B745B"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When onsite renewable energy production is not feasible to eliminate residual emissions, the investment into offsite wind and solar power under the principle of additionality (additional wind and solar power generation and produced in Northern Europe) shall be implemented when regulatorily possible into the Fund’s portfolio (requires change to Fund documentation).</w:t>
            </w:r>
          </w:p>
        </w:tc>
        <w:tc>
          <w:tcPr>
            <w:tcW w:w="931" w:type="pct"/>
          </w:tcPr>
          <w:p w14:paraId="235BA65F" w14:textId="77777777" w:rsidR="00AA6CF2" w:rsidRPr="00C835FF" w:rsidRDefault="00AA6CF2" w:rsidP="00F52BE9">
            <w:pPr>
              <w:pStyle w:val="ListParagraph"/>
              <w:numPr>
                <w:ilvl w:val="0"/>
                <w:numId w:val="6"/>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100% of real estate assets (based on market value) below the 1.5°C Carbon Risk Real Estate Monitor (”</w:t>
            </w:r>
            <w:r w:rsidRPr="00C835FF">
              <w:rPr>
                <w:b/>
                <w:bCs/>
                <w:i w:val="0"/>
                <w:iCs/>
                <w:sz w:val="16"/>
                <w:lang w:val="en-GB"/>
              </w:rPr>
              <w:t>CRREM</w:t>
            </w:r>
            <w:r w:rsidRPr="00C835FF">
              <w:rPr>
                <w:i w:val="0"/>
                <w:iCs/>
                <w:sz w:val="16"/>
                <w:lang w:val="en-GB"/>
              </w:rPr>
              <w:t>”) pathway in 2045 or alternatively 100% of stranding risks eliminated.</w:t>
            </w:r>
          </w:p>
          <w:p w14:paraId="0E0A3FCA" w14:textId="77777777" w:rsidR="00AA6CF2" w:rsidRPr="00C835FF" w:rsidRDefault="00AA6CF2" w:rsidP="00F52BE9">
            <w:pPr>
              <w:pStyle w:val="ListParagraph"/>
              <w:numPr>
                <w:ilvl w:val="0"/>
                <w:numId w:val="6"/>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100% of real estate assets (based on market value) have onsite solar or geothermal energy production where legally </w:t>
            </w:r>
            <w:r w:rsidRPr="00C835FF">
              <w:rPr>
                <w:i w:val="0"/>
                <w:iCs/>
                <w:sz w:val="16"/>
                <w:lang w:val="en-GB"/>
              </w:rPr>
              <w:lastRenderedPageBreak/>
              <w:t>and technically feasible.</w:t>
            </w:r>
          </w:p>
          <w:p w14:paraId="3A3DE17B" w14:textId="77777777" w:rsidR="00AA6CF2" w:rsidRPr="00C835FF" w:rsidRDefault="00AA6CF2" w:rsidP="00F52BE9">
            <w:pPr>
              <w:pStyle w:val="ListParagraph"/>
              <w:numPr>
                <w:ilvl w:val="0"/>
                <w:numId w:val="6"/>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E86AE8">
              <w:rPr>
                <w:i w:val="0"/>
                <w:iCs/>
                <w:sz w:val="16"/>
                <w:lang w:val="en-US"/>
              </w:rPr>
              <w:t xml:space="preserve">Removal of 100% of fuel </w:t>
            </w:r>
            <w:r w:rsidRPr="00C835FF">
              <w:rPr>
                <w:i w:val="0"/>
                <w:iCs/>
                <w:sz w:val="16"/>
                <w:lang w:val="en-GB"/>
              </w:rPr>
              <w:t>combustion boilers and furnaces from real estate assets where feasible within 3 years of ownership to eliminate scope 1 emissions.</w:t>
            </w:r>
          </w:p>
        </w:tc>
        <w:tc>
          <w:tcPr>
            <w:tcW w:w="931" w:type="pct"/>
          </w:tcPr>
          <w:p w14:paraId="72FFEEE4" w14:textId="77777777" w:rsidR="00AA6CF2" w:rsidRPr="00C835FF" w:rsidRDefault="00AA6CF2" w:rsidP="00F52BE9">
            <w:pPr>
              <w:pStyle w:val="ListParagraph"/>
              <w:numPr>
                <w:ilvl w:val="0"/>
                <w:numId w:val="15"/>
              </w:numPr>
              <w:spacing w:before="60" w:after="24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Percentage of real estate assets (based on market value) below the 1.5°C</w:t>
            </w:r>
            <w:r w:rsidRPr="00C835FF" w:rsidDel="00B85EE6">
              <w:rPr>
                <w:i w:val="0"/>
                <w:iCs/>
                <w:sz w:val="16"/>
                <w:lang w:val="en-GB"/>
              </w:rPr>
              <w:t xml:space="preserve"> </w:t>
            </w:r>
            <w:r w:rsidRPr="00C835FF">
              <w:rPr>
                <w:bCs/>
                <w:i w:val="0"/>
                <w:iCs/>
                <w:sz w:val="16"/>
                <w:lang w:val="en-GB"/>
              </w:rPr>
              <w:t>CRREM</w:t>
            </w:r>
            <w:r w:rsidRPr="00C835FF">
              <w:rPr>
                <w:i w:val="0"/>
                <w:iCs/>
                <w:sz w:val="16"/>
                <w:lang w:val="en-GB"/>
              </w:rPr>
              <w:t xml:space="preserve"> pathway in 2045 or alternatively percentage of elimination of stranding risk.</w:t>
            </w:r>
          </w:p>
          <w:p w14:paraId="5F7C9E68" w14:textId="77777777" w:rsidR="00AA6CF2" w:rsidRPr="00C835FF" w:rsidRDefault="00AA6CF2" w:rsidP="00F52BE9">
            <w:pPr>
              <w:pStyle w:val="ListParagraph"/>
              <w:numPr>
                <w:ilvl w:val="0"/>
                <w:numId w:val="15"/>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Percentage of real estate assets (based on market value) having onsite solar and/or geothermal energy production where legally </w:t>
            </w:r>
            <w:r w:rsidRPr="00C835FF">
              <w:rPr>
                <w:i w:val="0"/>
                <w:iCs/>
                <w:sz w:val="16"/>
                <w:lang w:val="en-GB"/>
              </w:rPr>
              <w:lastRenderedPageBreak/>
              <w:t>and technically feasible.</w:t>
            </w:r>
          </w:p>
          <w:p w14:paraId="4AD5E61B" w14:textId="77777777" w:rsidR="00AA6CF2" w:rsidRPr="00C835FF" w:rsidRDefault="00AA6CF2" w:rsidP="00F52BE9">
            <w:pPr>
              <w:pStyle w:val="ListParagraph"/>
              <w:numPr>
                <w:ilvl w:val="0"/>
                <w:numId w:val="15"/>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removed fuel combustion boilers and furnaces from real estate assets where feasible within 3 years of ownership to eliminate scope 1 emissions.</w:t>
            </w:r>
          </w:p>
        </w:tc>
        <w:tc>
          <w:tcPr>
            <w:tcW w:w="940" w:type="pct"/>
          </w:tcPr>
          <w:p w14:paraId="0AE969FC" w14:textId="77777777" w:rsidR="00AA6CF2" w:rsidRPr="00C835FF" w:rsidRDefault="00AA6CF2" w:rsidP="00F52BE9">
            <w:pPr>
              <w:pStyle w:val="ListParagraph"/>
              <w:numPr>
                <w:ilvl w:val="0"/>
                <w:numId w:val="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For 100% of real estate assets (based on market value) (and for new real estate assets within 4 months of ownership) a CRREM pathway will be established.</w:t>
            </w:r>
          </w:p>
          <w:p w14:paraId="3793A9A9" w14:textId="77777777" w:rsidR="00AA6CF2" w:rsidRPr="00C835FF" w:rsidRDefault="00AA6CF2" w:rsidP="00F52BE9">
            <w:pPr>
              <w:pStyle w:val="ListParagraph"/>
              <w:numPr>
                <w:ilvl w:val="0"/>
                <w:numId w:val="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For 100% of real estate assets (based on market value) feasibility studies for renewable energy installation will be undertaken within 4 months of </w:t>
            </w:r>
            <w:r w:rsidRPr="00C835FF">
              <w:rPr>
                <w:i w:val="0"/>
                <w:iCs/>
                <w:sz w:val="16"/>
                <w:lang w:val="en-GB"/>
              </w:rPr>
              <w:lastRenderedPageBreak/>
              <w:t>ownership and measures derived from such feasibility studies will be defined within such real estate assets’ business plans.</w:t>
            </w:r>
          </w:p>
          <w:p w14:paraId="36E08C51" w14:textId="77777777" w:rsidR="00AA6CF2" w:rsidRPr="00C835FF" w:rsidRDefault="00AA6CF2" w:rsidP="00F52BE9">
            <w:pPr>
              <w:pStyle w:val="ListParagraph"/>
              <w:numPr>
                <w:ilvl w:val="0"/>
                <w:numId w:val="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E86AE8">
              <w:rPr>
                <w:i w:val="0"/>
                <w:iCs/>
                <w:sz w:val="16"/>
                <w:lang w:val="en-US"/>
              </w:rPr>
              <w:t xml:space="preserve">For 100% of the real estate assets </w:t>
            </w:r>
            <w:r w:rsidRPr="00C835FF">
              <w:rPr>
                <w:i w:val="0"/>
                <w:iCs/>
                <w:sz w:val="16"/>
                <w:lang w:val="en-GB"/>
              </w:rPr>
              <w:t>(based on market value)</w:t>
            </w:r>
            <w:r w:rsidRPr="00E86AE8">
              <w:rPr>
                <w:i w:val="0"/>
                <w:iCs/>
                <w:sz w:val="16"/>
                <w:lang w:val="en-US"/>
              </w:rPr>
              <w:t xml:space="preserve"> a standardized process will be implemented to identify (i) any fuel combustion boilers and furnaces and (ii) feasible measures for their removal.</w:t>
            </w:r>
          </w:p>
        </w:tc>
        <w:tc>
          <w:tcPr>
            <w:tcW w:w="869" w:type="pct"/>
          </w:tcPr>
          <w:p w14:paraId="5F73C3AF" w14:textId="77777777" w:rsidR="00AA6CF2" w:rsidRPr="00C835FF" w:rsidRDefault="00AA6CF2" w:rsidP="00F52BE9">
            <w:pPr>
              <w:pStyle w:val="ListParagraph"/>
              <w:numPr>
                <w:ilvl w:val="0"/>
                <w:numId w:val="1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Percentage of real estate assets (based on market value) for which CRREM pathways are established.</w:t>
            </w:r>
          </w:p>
          <w:p w14:paraId="7726FC9E" w14:textId="77777777" w:rsidR="00AA6CF2" w:rsidRPr="00C835FF" w:rsidRDefault="00AA6CF2" w:rsidP="00F52BE9">
            <w:pPr>
              <w:pStyle w:val="ListParagraph"/>
              <w:numPr>
                <w:ilvl w:val="0"/>
                <w:numId w:val="1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t xml:space="preserve">Percentage of real estate assets </w:t>
            </w:r>
            <w:r w:rsidRPr="00C835FF">
              <w:rPr>
                <w:i w:val="0"/>
                <w:iCs/>
                <w:sz w:val="16"/>
                <w:lang w:val="en-GB"/>
              </w:rPr>
              <w:t>(based on market value)</w:t>
            </w:r>
            <w:r w:rsidRPr="00C835FF">
              <w:rPr>
                <w:i w:val="0"/>
                <w:iCs/>
                <w:sz w:val="16"/>
                <w:szCs w:val="16"/>
                <w:lang w:val="en-GB"/>
              </w:rPr>
              <w:t xml:space="preserve"> with feasibility</w:t>
            </w:r>
            <w:r w:rsidRPr="00C835FF">
              <w:rPr>
                <w:i w:val="0"/>
                <w:iCs/>
                <w:sz w:val="16"/>
                <w:lang w:val="en-GB"/>
              </w:rPr>
              <w:t xml:space="preserve"> studies for renewable energy installation undertaken</w:t>
            </w:r>
            <w:r w:rsidRPr="00E86AE8">
              <w:rPr>
                <w:i w:val="0"/>
                <w:iCs/>
                <w:lang w:val="en-US"/>
              </w:rPr>
              <w:t xml:space="preserve"> </w:t>
            </w:r>
            <w:r w:rsidRPr="00C835FF">
              <w:rPr>
                <w:i w:val="0"/>
                <w:iCs/>
                <w:sz w:val="16"/>
                <w:lang w:val="en-GB"/>
              </w:rPr>
              <w:t xml:space="preserve">and definition of measures derived from such feasibility studies within </w:t>
            </w:r>
            <w:r w:rsidRPr="00C835FF">
              <w:rPr>
                <w:i w:val="0"/>
                <w:iCs/>
                <w:sz w:val="16"/>
                <w:lang w:val="en-GB"/>
              </w:rPr>
              <w:lastRenderedPageBreak/>
              <w:t>real estate assets’ business plans.</w:t>
            </w:r>
          </w:p>
          <w:p w14:paraId="2DB636C1" w14:textId="77777777" w:rsidR="00AA6CF2" w:rsidRPr="00C835FF" w:rsidRDefault="00AA6CF2" w:rsidP="00F52BE9">
            <w:pPr>
              <w:pStyle w:val="ListParagraph"/>
              <w:numPr>
                <w:ilvl w:val="0"/>
                <w:numId w:val="1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real estate assets (based on market value) which undergo assessments to identify (i) any fuel combustion boilers or furnaces and (ii) feasible measure for their removal.</w:t>
            </w:r>
          </w:p>
        </w:tc>
      </w:tr>
      <w:tr w:rsidR="00AA6CF2" w:rsidRPr="00E86AE8" w14:paraId="30BAAF3E" w14:textId="77777777" w:rsidTr="00553B6C">
        <w:tblPrEx>
          <w:tblCellMar>
            <w:left w:w="108" w:type="dxa"/>
            <w:right w:w="108" w:type="dxa"/>
          </w:tblCellMar>
        </w:tblPrEx>
        <w:trPr>
          <w:trHeight w:val="557"/>
        </w:trPr>
        <w:tc>
          <w:tcPr>
            <w:cnfStyle w:val="001000000000" w:firstRow="0" w:lastRow="0" w:firstColumn="1" w:lastColumn="0" w:oddVBand="0" w:evenVBand="0" w:oddHBand="0" w:evenHBand="0" w:firstRowFirstColumn="0" w:firstRowLastColumn="0" w:lastRowFirstColumn="0" w:lastRowLastColumn="0"/>
            <w:tcW w:w="545" w:type="pct"/>
          </w:tcPr>
          <w:p w14:paraId="5FE3A0D0" w14:textId="77777777" w:rsidR="00AA6CF2" w:rsidRPr="00C835FF" w:rsidRDefault="00AA6CF2" w:rsidP="00553B6C">
            <w:pPr>
              <w:rPr>
                <w:i w:val="0"/>
                <w:iCs/>
                <w:sz w:val="16"/>
                <w:lang w:val="en-GB"/>
              </w:rPr>
            </w:pPr>
            <w:r w:rsidRPr="00C835FF">
              <w:rPr>
                <w:i w:val="0"/>
                <w:iCs/>
                <w:sz w:val="16"/>
                <w:lang w:val="en-GB"/>
              </w:rPr>
              <w:lastRenderedPageBreak/>
              <w:t>Active property renovation strategy to increase energy efficiency and to mitigate climate risks</w:t>
            </w:r>
          </w:p>
        </w:tc>
        <w:tc>
          <w:tcPr>
            <w:tcW w:w="784" w:type="pct"/>
          </w:tcPr>
          <w:p w14:paraId="3A9D2DCB"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In recognition that renovation of the building stock is much more sustainable than new construction, the Fund shall actively renovate buildings within its CapEx and risk parameters.</w:t>
            </w:r>
          </w:p>
          <w:p w14:paraId="3AF2A39B"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The Fund’s carbon management hierarchy prioritizes building efficiency with onsite and offsite energy generation as a second priority.</w:t>
            </w:r>
          </w:p>
          <w:p w14:paraId="097B4981"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The renovations (e.g. window replacements and/or wall and roof insulations) will also address and mitigate climate risks.</w:t>
            </w:r>
          </w:p>
        </w:tc>
        <w:tc>
          <w:tcPr>
            <w:tcW w:w="931" w:type="pct"/>
          </w:tcPr>
          <w:p w14:paraId="59BF8552"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After the first investment cycle in 2028, 75% of real estate assets (based on market value) obtain an Energy Performance Certificate (“</w:t>
            </w:r>
            <w:r w:rsidRPr="00C835FF">
              <w:rPr>
                <w:b/>
                <w:bCs/>
                <w:i w:val="0"/>
                <w:iCs/>
                <w:sz w:val="16"/>
                <w:lang w:val="en-GB"/>
              </w:rPr>
              <w:t>EPC</w:t>
            </w:r>
            <w:r w:rsidRPr="00C835FF">
              <w:rPr>
                <w:i w:val="0"/>
                <w:iCs/>
                <w:sz w:val="16"/>
                <w:lang w:val="en-GB"/>
              </w:rPr>
              <w:t>”) within the top 15% but not less than EPC Level B (provided that the Fund has a minimum of 5 real estate assets). After 2028, all new real estate assets must obtain an EPC within the top 15% but not less than EPC Level B within 3-5 years of ownership.</w:t>
            </w:r>
          </w:p>
        </w:tc>
        <w:tc>
          <w:tcPr>
            <w:tcW w:w="931" w:type="pct"/>
          </w:tcPr>
          <w:p w14:paraId="236A821E"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real estate assets (based on market value) with an EPC rating within the top 15% but not less than EPC Level B (based on kwh/m2 (representing pre-construction engineering &amp; design)).</w:t>
            </w:r>
          </w:p>
        </w:tc>
        <w:tc>
          <w:tcPr>
            <w:tcW w:w="940" w:type="pct"/>
          </w:tcPr>
          <w:p w14:paraId="480E7EE2"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For 100% of real estate assets (based on market value) energy audits will be completed to identify energy reduction plans </w:t>
            </w:r>
            <w:r w:rsidRPr="00E86AE8">
              <w:rPr>
                <w:i w:val="0"/>
                <w:iCs/>
                <w:sz w:val="16"/>
                <w:szCs w:val="16"/>
                <w:lang w:val="en-US"/>
              </w:rPr>
              <w:t>and the relevant measure derived from such energy audits</w:t>
            </w:r>
            <w:r w:rsidRPr="00C835FF">
              <w:rPr>
                <w:i w:val="0"/>
                <w:iCs/>
                <w:sz w:val="16"/>
                <w:szCs w:val="16"/>
                <w:lang w:val="en-GB"/>
              </w:rPr>
              <w:t xml:space="preserve"> will be included in the real estate assets’ business plans where feasible</w:t>
            </w:r>
            <w:r w:rsidRPr="00C835FF">
              <w:rPr>
                <w:i w:val="0"/>
                <w:iCs/>
                <w:sz w:val="16"/>
                <w:lang w:val="en-GB"/>
              </w:rPr>
              <w:t>.</w:t>
            </w:r>
          </w:p>
        </w:tc>
        <w:tc>
          <w:tcPr>
            <w:tcW w:w="869" w:type="pct"/>
          </w:tcPr>
          <w:p w14:paraId="6F26709A"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real estate assets (based on market value) with energy audits completed to identify energy reduction plans</w:t>
            </w:r>
            <w:r w:rsidRPr="00C835FF">
              <w:rPr>
                <w:i w:val="0"/>
                <w:iCs/>
                <w:sz w:val="16"/>
                <w:szCs w:val="16"/>
                <w:lang w:val="en-GB"/>
              </w:rPr>
              <w:t xml:space="preserve"> and the relevant measures derived from such energy audits included in the real estate assets’ business plan where feasible</w:t>
            </w:r>
            <w:r w:rsidRPr="00C835FF">
              <w:rPr>
                <w:i w:val="0"/>
                <w:iCs/>
                <w:sz w:val="16"/>
                <w:lang w:val="en-GB"/>
              </w:rPr>
              <w:t>.</w:t>
            </w:r>
          </w:p>
        </w:tc>
      </w:tr>
      <w:tr w:rsidR="00AA6CF2" w:rsidRPr="00E86AE8" w14:paraId="25C8130F" w14:textId="77777777" w:rsidTr="00553B6C">
        <w:tblPrEx>
          <w:tblCellMar>
            <w:left w:w="108" w:type="dxa"/>
            <w:right w:w="108" w:type="dxa"/>
          </w:tblCellMar>
        </w:tblPrEx>
        <w:trPr>
          <w:trHeight w:val="1077"/>
        </w:trPr>
        <w:tc>
          <w:tcPr>
            <w:cnfStyle w:val="001000000000" w:firstRow="0" w:lastRow="0" w:firstColumn="1" w:lastColumn="0" w:oddVBand="0" w:evenVBand="0" w:oddHBand="0" w:evenHBand="0" w:firstRowFirstColumn="0" w:firstRowLastColumn="0" w:lastRowFirstColumn="0" w:lastRowLastColumn="0"/>
            <w:tcW w:w="545" w:type="pct"/>
          </w:tcPr>
          <w:p w14:paraId="04E1BB90" w14:textId="77777777" w:rsidR="00AA6CF2" w:rsidRPr="00C835FF" w:rsidRDefault="00AA6CF2" w:rsidP="00553B6C">
            <w:pPr>
              <w:rPr>
                <w:i w:val="0"/>
                <w:iCs/>
                <w:sz w:val="16"/>
                <w:lang w:val="en-GB"/>
              </w:rPr>
            </w:pPr>
            <w:r w:rsidRPr="00C835FF">
              <w:rPr>
                <w:i w:val="0"/>
                <w:iCs/>
                <w:sz w:val="16"/>
                <w:lang w:val="en-GB"/>
              </w:rPr>
              <w:lastRenderedPageBreak/>
              <w:t>Circular economy</w:t>
            </w:r>
          </w:p>
        </w:tc>
        <w:tc>
          <w:tcPr>
            <w:tcW w:w="784" w:type="pct"/>
          </w:tcPr>
          <w:p w14:paraId="62E53537"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Construction materials have a big negative impact on the environment throughout their whole life cycle (from production to demolition) and should therefore be reduced.</w:t>
            </w:r>
          </w:p>
          <w:p w14:paraId="0E3757C6"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Waste from building operation should be reduced to the minimum according to the 4-R principle: refuse, reduce, reuse, recycle.</w:t>
            </w:r>
          </w:p>
        </w:tc>
        <w:tc>
          <w:tcPr>
            <w:tcW w:w="931" w:type="pct"/>
          </w:tcPr>
          <w:p w14:paraId="7C2F03C5" w14:textId="77777777" w:rsidR="00AA6CF2" w:rsidRPr="00C835FF" w:rsidRDefault="00AA6CF2" w:rsidP="00F52BE9">
            <w:pPr>
              <w:pStyle w:val="ListParagraph"/>
              <w:numPr>
                <w:ilvl w:val="0"/>
                <w:numId w:val="11"/>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75% of renovation/new construction projects will provide the material from the construction site to reuse or recycling according to the “transition to a circular economy criteria” described under the EU Taxonomy Annex 1 Climate Change Mitigation, 7.1. New Construction and 7.2. Renovation of existing buildings. </w:t>
            </w:r>
          </w:p>
          <w:p w14:paraId="32B0894A" w14:textId="77777777" w:rsidR="00AA6CF2" w:rsidRPr="00C835FF" w:rsidRDefault="00AA6CF2" w:rsidP="00F52BE9">
            <w:pPr>
              <w:pStyle w:val="ListParagraph"/>
              <w:numPr>
                <w:ilvl w:val="0"/>
                <w:numId w:val="11"/>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75% of all major renovation projects will include 25% or more re-useable or recyclable material.</w:t>
            </w:r>
          </w:p>
          <w:p w14:paraId="398FA4F0" w14:textId="77777777" w:rsidR="00AA6CF2" w:rsidRPr="00C835FF" w:rsidRDefault="00AA6CF2" w:rsidP="00F52BE9">
            <w:pPr>
              <w:pStyle w:val="ListParagraph"/>
              <w:numPr>
                <w:ilvl w:val="0"/>
                <w:numId w:val="11"/>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rFonts w:cs="Calibri"/>
                <w:i w:val="0"/>
                <w:iCs/>
                <w:sz w:val="16"/>
                <w:lang w:val="en-GB"/>
              </w:rPr>
              <w:t>75</w:t>
            </w:r>
            <w:r w:rsidRPr="00C835FF">
              <w:rPr>
                <w:i w:val="0"/>
                <w:iCs/>
                <w:sz w:val="16"/>
                <w:lang w:val="en-GB"/>
              </w:rPr>
              <w:t>% of operational waste from building activities diverted from landfill in line with zero-to-landfill target.</w:t>
            </w:r>
          </w:p>
        </w:tc>
        <w:tc>
          <w:tcPr>
            <w:tcW w:w="931" w:type="pct"/>
          </w:tcPr>
          <w:p w14:paraId="56B768D9" w14:textId="77777777" w:rsidR="00AA6CF2" w:rsidRPr="00C835FF" w:rsidRDefault="00AA6CF2" w:rsidP="00F52BE9">
            <w:pPr>
              <w:pStyle w:val="ListParagraph"/>
              <w:numPr>
                <w:ilvl w:val="0"/>
                <w:numId w:val="12"/>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renovation/new construction projects aligning with described criteria of EU Taxonomy.</w:t>
            </w:r>
          </w:p>
          <w:p w14:paraId="553E289E" w14:textId="77777777" w:rsidR="00AA6CF2" w:rsidRPr="00C835FF" w:rsidRDefault="00AA6CF2" w:rsidP="00F52BE9">
            <w:pPr>
              <w:pStyle w:val="ListParagraph"/>
              <w:numPr>
                <w:ilvl w:val="0"/>
                <w:numId w:val="12"/>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major renovation projects including 25% or more of re-usable or recyclable material.</w:t>
            </w:r>
          </w:p>
          <w:p w14:paraId="4CA922CB" w14:textId="77777777" w:rsidR="00AA6CF2" w:rsidRPr="00C835FF" w:rsidRDefault="00AA6CF2" w:rsidP="00F52BE9">
            <w:pPr>
              <w:pStyle w:val="ListParagraph"/>
              <w:numPr>
                <w:ilvl w:val="0"/>
                <w:numId w:val="12"/>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waste from building activities diverted from landfill in line with zero-to-landfill target.</w:t>
            </w:r>
          </w:p>
        </w:tc>
        <w:tc>
          <w:tcPr>
            <w:tcW w:w="940" w:type="pct"/>
          </w:tcPr>
          <w:p w14:paraId="0FA8A715" w14:textId="77777777" w:rsidR="00AA6CF2" w:rsidRPr="00C835FF" w:rsidRDefault="00AA6CF2" w:rsidP="00F52BE9">
            <w:pPr>
              <w:pStyle w:val="ListParagraph"/>
              <w:numPr>
                <w:ilvl w:val="0"/>
                <w:numId w:val="13"/>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Standardized life cycle impact assessment (”</w:t>
            </w:r>
            <w:r w:rsidRPr="00C835FF">
              <w:rPr>
                <w:b/>
                <w:i w:val="0"/>
                <w:iCs/>
                <w:sz w:val="16"/>
                <w:lang w:val="en-GB"/>
              </w:rPr>
              <w:t>LCA</w:t>
            </w:r>
            <w:r w:rsidRPr="00C835FF">
              <w:rPr>
                <w:i w:val="0"/>
                <w:iCs/>
                <w:sz w:val="16"/>
                <w:lang w:val="en-GB"/>
              </w:rPr>
              <w:t xml:space="preserve">”) analysis and implementation of new LCA guideline across </w:t>
            </w:r>
            <w:r w:rsidRPr="00C835FF">
              <w:rPr>
                <w:i w:val="0"/>
                <w:iCs/>
                <w:sz w:val="16"/>
                <w:szCs w:val="16"/>
                <w:lang w:val="en-GB"/>
              </w:rPr>
              <w:t>75% of</w:t>
            </w:r>
            <w:r w:rsidRPr="00C835FF">
              <w:rPr>
                <w:i w:val="0"/>
                <w:iCs/>
                <w:sz w:val="16"/>
                <w:lang w:val="en-GB"/>
              </w:rPr>
              <w:t xml:space="preserve"> minor and major renovations and new construction projects.</w:t>
            </w:r>
          </w:p>
          <w:p w14:paraId="541E823B" w14:textId="77777777" w:rsidR="00AA6CF2" w:rsidRPr="00C835FF" w:rsidDel="00A13CE4" w:rsidRDefault="00AA6CF2" w:rsidP="00F52BE9">
            <w:pPr>
              <w:pStyle w:val="ListParagraph"/>
              <w:numPr>
                <w:ilvl w:val="0"/>
                <w:numId w:val="13"/>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Implementation of standardized waste management process that increases recycling rates for 100% of the real estate assets (based on market value).</w:t>
            </w:r>
          </w:p>
        </w:tc>
        <w:tc>
          <w:tcPr>
            <w:tcW w:w="869" w:type="pct"/>
          </w:tcPr>
          <w:p w14:paraId="3176F4B7" w14:textId="77777777" w:rsidR="00AA6CF2" w:rsidRPr="00C835FF" w:rsidRDefault="00AA6CF2" w:rsidP="00F52BE9">
            <w:pPr>
              <w:pStyle w:val="ListParagraph"/>
              <w:numPr>
                <w:ilvl w:val="0"/>
                <w:numId w:val="1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w:t>
            </w:r>
            <w:r w:rsidRPr="00C835FF">
              <w:rPr>
                <w:i w:val="0"/>
                <w:iCs/>
                <w:sz w:val="16"/>
                <w:szCs w:val="16"/>
                <w:lang w:val="en-GB"/>
              </w:rPr>
              <w:t xml:space="preserve"> </w:t>
            </w:r>
            <w:r w:rsidRPr="00C835FF">
              <w:rPr>
                <w:i w:val="0"/>
                <w:iCs/>
                <w:sz w:val="16"/>
                <w:lang w:val="en-GB"/>
              </w:rPr>
              <w:t>of renovation</w:t>
            </w:r>
            <w:r w:rsidRPr="00C835FF">
              <w:rPr>
                <w:i w:val="0"/>
                <w:iCs/>
                <w:sz w:val="16"/>
                <w:szCs w:val="16"/>
                <w:lang w:val="en-GB"/>
              </w:rPr>
              <w:t xml:space="preserve"> and new construction</w:t>
            </w:r>
            <w:r w:rsidRPr="00C835FF">
              <w:rPr>
                <w:i w:val="0"/>
                <w:iCs/>
                <w:sz w:val="16"/>
                <w:lang w:val="en-GB"/>
              </w:rPr>
              <w:t xml:space="preserve"> projects following the LCA standardized process.</w:t>
            </w:r>
          </w:p>
          <w:p w14:paraId="3B96DDCF" w14:textId="77777777" w:rsidR="00AA6CF2" w:rsidRPr="00C835FF" w:rsidRDefault="00AA6CF2" w:rsidP="00F52BE9">
            <w:pPr>
              <w:pStyle w:val="ListParagraph"/>
              <w:numPr>
                <w:ilvl w:val="0"/>
                <w:numId w:val="14"/>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real estate assets (based on market value) with implemented standardized waste management process.</w:t>
            </w:r>
          </w:p>
        </w:tc>
      </w:tr>
    </w:tbl>
    <w:p w14:paraId="078FFD85" w14:textId="77777777" w:rsidR="00AA6CF2" w:rsidRPr="00897C43" w:rsidRDefault="00AA6CF2" w:rsidP="001F5AEE">
      <w:pPr>
        <w:pStyle w:val="BodyText"/>
        <w:spacing w:before="114" w:after="120"/>
        <w:ind w:left="136" w:right="136"/>
        <w:jc w:val="both"/>
        <w:rPr>
          <w:lang w:val="en-GB"/>
        </w:rPr>
      </w:pPr>
    </w:p>
    <w:p w14:paraId="39FD8D57" w14:textId="77777777" w:rsidR="00AA6CF2" w:rsidRPr="00897C43" w:rsidRDefault="00AA6CF2" w:rsidP="00AA6CF2">
      <w:pPr>
        <w:pStyle w:val="BodyText"/>
        <w:keepNext/>
        <w:spacing w:before="114" w:after="120"/>
        <w:ind w:left="136" w:right="136"/>
        <w:contextualSpacing/>
        <w:jc w:val="both"/>
        <w:rPr>
          <w:u w:val="single"/>
          <w:lang w:val="en-GB"/>
        </w:rPr>
      </w:pPr>
      <w:r w:rsidRPr="00897C43">
        <w:rPr>
          <w:u w:val="single"/>
          <w:lang w:val="en-GB"/>
        </w:rPr>
        <w:t>Social characteristics</w:t>
      </w:r>
    </w:p>
    <w:tbl>
      <w:tblPr>
        <w:tblStyle w:val="GenestaTable2"/>
        <w:tblW w:w="5770" w:type="pct"/>
        <w:tblInd w:w="135" w:type="dxa"/>
        <w:tblLayout w:type="fixed"/>
        <w:tblLook w:val="04A0" w:firstRow="1" w:lastRow="0" w:firstColumn="1" w:lastColumn="0" w:noHBand="0" w:noVBand="1"/>
      </w:tblPr>
      <w:tblGrid>
        <w:gridCol w:w="1066"/>
        <w:gridCol w:w="1551"/>
        <w:gridCol w:w="1835"/>
        <w:gridCol w:w="1847"/>
        <w:gridCol w:w="1833"/>
        <w:gridCol w:w="1723"/>
      </w:tblGrid>
      <w:tr w:rsidR="00D02441" w:rsidRPr="00E86AE8" w14:paraId="3A262C72" w14:textId="77777777" w:rsidTr="00D02441">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541" w:type="pct"/>
          </w:tcPr>
          <w:p w14:paraId="4F241B05" w14:textId="701F6623" w:rsidR="00D02441" w:rsidRPr="00D02441" w:rsidRDefault="00D02441" w:rsidP="00D02441">
            <w:pPr>
              <w:rPr>
                <w:lang w:val="en-GB"/>
              </w:rPr>
            </w:pPr>
            <w:r w:rsidRPr="0092008A">
              <w:rPr>
                <w:i w:val="0"/>
                <w:iCs/>
                <w:sz w:val="16"/>
                <w:lang w:val="en-GB"/>
              </w:rPr>
              <w:t>Topic</w:t>
            </w:r>
          </w:p>
        </w:tc>
        <w:tc>
          <w:tcPr>
            <w:tcW w:w="787" w:type="pct"/>
          </w:tcPr>
          <w:p w14:paraId="372D758B" w14:textId="75CEB291" w:rsidR="00D02441" w:rsidRPr="00D02441" w:rsidRDefault="00D02441" w:rsidP="00D02441">
            <w:pPr>
              <w:cnfStyle w:val="100000000000" w:firstRow="1" w:lastRow="0" w:firstColumn="0" w:lastColumn="0" w:oddVBand="0" w:evenVBand="0" w:oddHBand="0" w:evenHBand="0" w:firstRowFirstColumn="0" w:firstRowLastColumn="0" w:lastRowFirstColumn="0" w:lastRowLastColumn="0"/>
              <w:rPr>
                <w:lang w:val="en-GB"/>
              </w:rPr>
            </w:pPr>
            <w:r w:rsidRPr="0092008A">
              <w:rPr>
                <w:i w:val="0"/>
                <w:iCs/>
                <w:sz w:val="16"/>
                <w:lang w:val="en-GB"/>
              </w:rPr>
              <w:t>Description</w:t>
            </w:r>
          </w:p>
        </w:tc>
        <w:tc>
          <w:tcPr>
            <w:tcW w:w="931" w:type="pct"/>
          </w:tcPr>
          <w:p w14:paraId="66033075" w14:textId="7992B059" w:rsidR="00D02441" w:rsidRPr="00D02441" w:rsidRDefault="00D02441" w:rsidP="00D02441">
            <w:pPr>
              <w:cnfStyle w:val="100000000000" w:firstRow="1" w:lastRow="0" w:firstColumn="0" w:lastColumn="0" w:oddVBand="0" w:evenVBand="0" w:oddHBand="0" w:evenHBand="0" w:firstRowFirstColumn="0" w:firstRowLastColumn="0" w:lastRowFirstColumn="0" w:lastRowLastColumn="0"/>
              <w:rPr>
                <w:lang w:val="en-GB"/>
              </w:rPr>
            </w:pPr>
            <w:r w:rsidRPr="0092008A">
              <w:rPr>
                <w:i w:val="0"/>
                <w:iCs/>
                <w:sz w:val="16"/>
                <w:lang w:val="en-GB"/>
              </w:rPr>
              <w:t>Long-Term Target (until 2030)</w:t>
            </w:r>
          </w:p>
        </w:tc>
        <w:tc>
          <w:tcPr>
            <w:tcW w:w="937" w:type="pct"/>
          </w:tcPr>
          <w:p w14:paraId="2366E5FA" w14:textId="44C821C2" w:rsidR="00D02441" w:rsidRPr="00D02441" w:rsidRDefault="00D02441" w:rsidP="00D02441">
            <w:pPr>
              <w:cnfStyle w:val="100000000000" w:firstRow="1" w:lastRow="0" w:firstColumn="0" w:lastColumn="0" w:oddVBand="0" w:evenVBand="0" w:oddHBand="0" w:evenHBand="0" w:firstRowFirstColumn="0" w:firstRowLastColumn="0" w:lastRowFirstColumn="0" w:lastRowLastColumn="0"/>
              <w:rPr>
                <w:lang w:val="en-GB"/>
              </w:rPr>
            </w:pPr>
            <w:r w:rsidRPr="0092008A">
              <w:rPr>
                <w:i w:val="0"/>
                <w:iCs/>
                <w:sz w:val="16"/>
                <w:lang w:val="en-GB"/>
              </w:rPr>
              <w:t>Measurements for Long-Term Targets</w:t>
            </w:r>
          </w:p>
        </w:tc>
        <w:tc>
          <w:tcPr>
            <w:tcW w:w="930" w:type="pct"/>
          </w:tcPr>
          <w:p w14:paraId="3D9169C2" w14:textId="119E6854" w:rsidR="00D02441" w:rsidRPr="00D02441" w:rsidRDefault="00D02441" w:rsidP="00D02441">
            <w:pPr>
              <w:cnfStyle w:val="100000000000" w:firstRow="1" w:lastRow="0" w:firstColumn="0" w:lastColumn="0" w:oddVBand="0" w:evenVBand="0" w:oddHBand="0" w:evenHBand="0" w:firstRowFirstColumn="0" w:firstRowLastColumn="0" w:lastRowFirstColumn="0" w:lastRowLastColumn="0"/>
              <w:rPr>
                <w:lang w:val="en-GB"/>
              </w:rPr>
            </w:pPr>
            <w:r w:rsidRPr="0092008A">
              <w:rPr>
                <w:i w:val="0"/>
                <w:iCs/>
                <w:sz w:val="16"/>
                <w:lang w:val="en-GB"/>
              </w:rPr>
              <w:t>Short-Term Targets (until end of 2023)</w:t>
            </w:r>
          </w:p>
        </w:tc>
        <w:tc>
          <w:tcPr>
            <w:tcW w:w="874" w:type="pct"/>
          </w:tcPr>
          <w:p w14:paraId="0E930B53" w14:textId="13409BE2" w:rsidR="00D02441" w:rsidRPr="00E86AE8" w:rsidRDefault="00D02441" w:rsidP="00D02441">
            <w:pPr>
              <w:cnfStyle w:val="100000000000" w:firstRow="1" w:lastRow="0" w:firstColumn="0" w:lastColumn="0" w:oddVBand="0" w:evenVBand="0" w:oddHBand="0" w:evenHBand="0" w:firstRowFirstColumn="0" w:firstRowLastColumn="0" w:lastRowFirstColumn="0" w:lastRowLastColumn="0"/>
              <w:rPr>
                <w:lang w:val="en-US"/>
              </w:rPr>
            </w:pPr>
            <w:r w:rsidRPr="0092008A">
              <w:rPr>
                <w:i w:val="0"/>
                <w:iCs/>
                <w:sz w:val="16"/>
                <w:lang w:val="en-GB"/>
              </w:rPr>
              <w:t>Measurements for Short-Term Targets</w:t>
            </w:r>
          </w:p>
        </w:tc>
      </w:tr>
      <w:tr w:rsidR="00AA6CF2" w:rsidRPr="00E86AE8" w14:paraId="206C6787" w14:textId="77777777" w:rsidTr="00553B6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41" w:type="pct"/>
          </w:tcPr>
          <w:p w14:paraId="6583DB37" w14:textId="77777777" w:rsidR="00AA6CF2" w:rsidRPr="00C835FF" w:rsidRDefault="00AA6CF2" w:rsidP="00553B6C">
            <w:pPr>
              <w:rPr>
                <w:i w:val="0"/>
                <w:iCs/>
                <w:sz w:val="16"/>
                <w:lang w:val="en-GB"/>
              </w:rPr>
            </w:pPr>
            <w:r w:rsidRPr="00C835FF">
              <w:rPr>
                <w:i w:val="0"/>
                <w:iCs/>
                <w:sz w:val="16"/>
                <w:lang w:val="en-GB"/>
              </w:rPr>
              <w:t>Community engagement</w:t>
            </w:r>
          </w:p>
        </w:tc>
        <w:tc>
          <w:tcPr>
            <w:tcW w:w="787" w:type="pct"/>
          </w:tcPr>
          <w:p w14:paraId="0E7DC9F7"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The Fund’s real estate assets should be managed while supporting and enhancing the local community. To avoid and mitigate risks for the community, it is key to implement </w:t>
            </w:r>
            <w:r w:rsidRPr="00C835FF">
              <w:rPr>
                <w:i w:val="0"/>
                <w:iCs/>
                <w:sz w:val="16"/>
                <w:lang w:val="en-GB"/>
              </w:rPr>
              <w:lastRenderedPageBreak/>
              <w:t>management systems that ensure alignment with responsible business conduct, incl. the OECD Guidelines for Multinational Enterprises, the UN Guiding Principles on Business and Human Rights (“</w:t>
            </w:r>
            <w:r w:rsidRPr="001B6FC1">
              <w:rPr>
                <w:b/>
                <w:bCs/>
                <w:i w:val="0"/>
                <w:iCs/>
                <w:sz w:val="16"/>
                <w:lang w:val="en-GB"/>
              </w:rPr>
              <w:t>UNGPs</w:t>
            </w:r>
            <w:r w:rsidRPr="00D02441">
              <w:rPr>
                <w:i w:val="0"/>
                <w:iCs/>
                <w:sz w:val="16"/>
                <w:lang w:val="en-GB"/>
              </w:rPr>
              <w:t>”)</w:t>
            </w:r>
            <w:r w:rsidRPr="00C835FF">
              <w:rPr>
                <w:i w:val="0"/>
                <w:iCs/>
                <w:sz w:val="16"/>
                <w:lang w:val="en-GB"/>
              </w:rPr>
              <w:t>, including the principles and rights set out in the eight fundamental conventions identified in the Declaration of the International Labour Organisation on Fundamental Principles and Rights at Work (“</w:t>
            </w:r>
            <w:r w:rsidRPr="001B6FC1">
              <w:rPr>
                <w:b/>
                <w:bCs/>
                <w:i w:val="0"/>
                <w:iCs/>
                <w:sz w:val="16"/>
                <w:lang w:val="en-GB"/>
              </w:rPr>
              <w:t>ILO Declaration</w:t>
            </w:r>
            <w:r w:rsidRPr="00D02441">
              <w:rPr>
                <w:i w:val="0"/>
                <w:iCs/>
                <w:sz w:val="16"/>
                <w:lang w:val="en-GB"/>
              </w:rPr>
              <w:t>”)</w:t>
            </w:r>
            <w:r w:rsidRPr="00C835FF">
              <w:rPr>
                <w:i w:val="0"/>
                <w:iCs/>
                <w:sz w:val="16"/>
                <w:lang w:val="en-GB"/>
              </w:rPr>
              <w:t xml:space="preserve"> and the International Bill of Human Rights, throughout the project life cycle from evaluation and selection to exit.</w:t>
            </w:r>
          </w:p>
          <w:p w14:paraId="0AB9BB50"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Due diligences on human rights based on the OECD Guidelines for Multinational Enterprises, the UNGPs (including (i) the principles and rights set out in the eight fundamental conventions identified in ILO Declaration, (ii) the International Bill of Human Rights and (iii) the Human Rights Impact Assessment (“</w:t>
            </w:r>
            <w:r w:rsidRPr="001B6FC1">
              <w:rPr>
                <w:b/>
                <w:bCs/>
                <w:i w:val="0"/>
                <w:iCs/>
                <w:sz w:val="16"/>
                <w:lang w:val="en-GB"/>
              </w:rPr>
              <w:t>HRIA</w:t>
            </w:r>
            <w:r w:rsidRPr="00C835FF">
              <w:rPr>
                <w:i w:val="0"/>
                <w:iCs/>
                <w:sz w:val="16"/>
                <w:lang w:val="en-GB"/>
              </w:rPr>
              <w:t xml:space="preserve">”) and grievance mechanism) </w:t>
            </w:r>
            <w:r w:rsidRPr="00C835FF">
              <w:rPr>
                <w:i w:val="0"/>
                <w:iCs/>
                <w:sz w:val="16"/>
                <w:lang w:val="en-GB"/>
              </w:rPr>
              <w:lastRenderedPageBreak/>
              <w:t>(“</w:t>
            </w:r>
            <w:r w:rsidRPr="001B6FC1">
              <w:rPr>
                <w:b/>
                <w:bCs/>
                <w:i w:val="0"/>
                <w:iCs/>
                <w:sz w:val="16"/>
                <w:lang w:val="en-GB"/>
              </w:rPr>
              <w:t>HR DD</w:t>
            </w:r>
            <w:r w:rsidRPr="00C835FF">
              <w:rPr>
                <w:i w:val="0"/>
                <w:iCs/>
                <w:sz w:val="16"/>
                <w:lang w:val="en-GB"/>
              </w:rPr>
              <w:t xml:space="preserve">”) will be implemented, in which communities, suppliers and tenants will be considered. </w:t>
            </w:r>
          </w:p>
        </w:tc>
        <w:tc>
          <w:tcPr>
            <w:tcW w:w="931" w:type="pct"/>
          </w:tcPr>
          <w:p w14:paraId="1253907B"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Individual community engagement program (as set out under measurement for long-term targets) for 100% of real estate assets in place.</w:t>
            </w:r>
          </w:p>
        </w:tc>
        <w:tc>
          <w:tcPr>
            <w:tcW w:w="937" w:type="pct"/>
          </w:tcPr>
          <w:p w14:paraId="2ADA7CCD"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Promotion of community engagement by implementation of an individual community engagement program for a real estate asset requiring the implementation of at least one activity annually for each of the following topics </w:t>
            </w:r>
            <w:r w:rsidRPr="00C835FF">
              <w:rPr>
                <w:i w:val="0"/>
                <w:iCs/>
                <w:sz w:val="16"/>
                <w:lang w:val="en-GB"/>
              </w:rPr>
              <w:lastRenderedPageBreak/>
              <w:t xml:space="preserve">depending on local needs. </w:t>
            </w:r>
          </w:p>
          <w:p w14:paraId="1AF28E34"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Topics:</w:t>
            </w:r>
          </w:p>
          <w:p w14:paraId="6646308A" w14:textId="77777777" w:rsidR="00AA6CF2" w:rsidRPr="00C835FF" w:rsidRDefault="00AA6CF2" w:rsidP="00F52BE9">
            <w:pPr>
              <w:pStyle w:val="ListParagraph"/>
              <w:numPr>
                <w:ilvl w:val="0"/>
                <w:numId w:val="4"/>
              </w:numPr>
              <w:spacing w:before="120" w:after="120" w:line="220" w:lineRule="atLeast"/>
              <w:ind w:left="3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Health &amp; well-being in the neighbourhood.</w:t>
            </w:r>
          </w:p>
          <w:p w14:paraId="2DC0FB32" w14:textId="77777777" w:rsidR="00AA6CF2" w:rsidRPr="00C835FF" w:rsidRDefault="00AA6CF2" w:rsidP="00F52BE9">
            <w:pPr>
              <w:pStyle w:val="ListParagraph"/>
              <w:numPr>
                <w:ilvl w:val="0"/>
                <w:numId w:val="4"/>
              </w:numPr>
              <w:spacing w:before="120" w:after="120" w:line="220" w:lineRule="atLeast"/>
              <w:ind w:left="3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Biodiversity preservation &amp; recreational space.</w:t>
            </w:r>
          </w:p>
          <w:p w14:paraId="5F717791" w14:textId="77777777" w:rsidR="00AA6CF2" w:rsidRPr="00C835FF" w:rsidRDefault="00AA6CF2" w:rsidP="00F52BE9">
            <w:pPr>
              <w:pStyle w:val="ListParagraph"/>
              <w:numPr>
                <w:ilvl w:val="0"/>
                <w:numId w:val="4"/>
              </w:numPr>
              <w:spacing w:before="120" w:after="120" w:line="220" w:lineRule="atLeast"/>
              <w:ind w:left="3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Sponsoring of or partnerships with local charities and/or NGO’s and/or hosting of ESG related events.</w:t>
            </w:r>
          </w:p>
        </w:tc>
        <w:tc>
          <w:tcPr>
            <w:tcW w:w="930" w:type="pct"/>
          </w:tcPr>
          <w:p w14:paraId="1F04DDAE" w14:textId="77777777" w:rsidR="00AA6CF2" w:rsidRPr="00D02441" w:rsidRDefault="00AA6CF2" w:rsidP="00F52BE9">
            <w:pPr>
              <w:pStyle w:val="ListParagraph"/>
              <w:numPr>
                <w:ilvl w:val="0"/>
                <w:numId w:val="16"/>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For 100% of real estate assets (based on market value) an analysis will be conducted to identify local needs (e.g. walkability and liveability)</w:t>
            </w:r>
            <w:r w:rsidRPr="00D02441">
              <w:rPr>
                <w:i w:val="0"/>
                <w:iCs/>
                <w:sz w:val="16"/>
                <w:lang w:val="en-GB"/>
              </w:rPr>
              <w:t>.</w:t>
            </w:r>
          </w:p>
          <w:p w14:paraId="18B9142F" w14:textId="77777777" w:rsidR="00AA6CF2" w:rsidRPr="00C835FF" w:rsidRDefault="00AA6CF2" w:rsidP="00F52BE9">
            <w:pPr>
              <w:pStyle w:val="ListParagraph"/>
              <w:numPr>
                <w:ilvl w:val="0"/>
                <w:numId w:val="16"/>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D02441">
              <w:rPr>
                <w:i w:val="0"/>
                <w:iCs/>
                <w:sz w:val="16"/>
                <w:lang w:val="en-GB"/>
              </w:rPr>
              <w:t xml:space="preserve">For 100% of the real estate assets </w:t>
            </w:r>
            <w:r w:rsidRPr="00C835FF">
              <w:rPr>
                <w:i w:val="0"/>
                <w:iCs/>
                <w:sz w:val="16"/>
                <w:lang w:val="en-GB"/>
              </w:rPr>
              <w:t xml:space="preserve">(based on market </w:t>
            </w:r>
            <w:r w:rsidRPr="00C835FF">
              <w:rPr>
                <w:i w:val="0"/>
                <w:iCs/>
                <w:sz w:val="16"/>
                <w:lang w:val="en-GB"/>
              </w:rPr>
              <w:lastRenderedPageBreak/>
              <w:t>value)</w:t>
            </w:r>
            <w:r w:rsidRPr="00D02441">
              <w:rPr>
                <w:i w:val="0"/>
                <w:iCs/>
                <w:sz w:val="16"/>
                <w:lang w:val="en-GB"/>
              </w:rPr>
              <w:t xml:space="preserve"> </w:t>
            </w:r>
            <w:r w:rsidRPr="00C835FF">
              <w:rPr>
                <w:i w:val="0"/>
                <w:iCs/>
                <w:sz w:val="16"/>
                <w:lang w:val="en-GB"/>
              </w:rPr>
              <w:t>HRIAs</w:t>
            </w:r>
            <w:r w:rsidRPr="00D02441">
              <w:rPr>
                <w:i w:val="0"/>
                <w:iCs/>
                <w:sz w:val="16"/>
                <w:lang w:val="en-GB"/>
              </w:rPr>
              <w:t xml:space="preserve"> will be conducted with a view to communities affected by the operation and use of the real estate assets</w:t>
            </w:r>
            <w:r w:rsidRPr="00C835FF">
              <w:rPr>
                <w:i w:val="0"/>
                <w:iCs/>
                <w:sz w:val="16"/>
                <w:lang w:val="en-GB"/>
              </w:rPr>
              <w:t>.</w:t>
            </w:r>
          </w:p>
          <w:p w14:paraId="0F481CDA" w14:textId="77777777" w:rsidR="00AA6CF2" w:rsidRPr="00C835FF" w:rsidRDefault="00AA6CF2" w:rsidP="00F52BE9">
            <w:pPr>
              <w:pStyle w:val="ListParagraph"/>
              <w:numPr>
                <w:ilvl w:val="0"/>
                <w:numId w:val="16"/>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For 100% of the real estate assets (based on market value) a grievance mechanism aligned with the criteria of the UNGPs will be available at the level of Genesta and accessible on Genesta’s website.</w:t>
            </w:r>
          </w:p>
        </w:tc>
        <w:tc>
          <w:tcPr>
            <w:tcW w:w="874" w:type="pct"/>
          </w:tcPr>
          <w:p w14:paraId="5C879F80" w14:textId="77777777" w:rsidR="00AA6CF2" w:rsidRPr="00D02441" w:rsidRDefault="00AA6CF2" w:rsidP="00F52BE9">
            <w:pPr>
              <w:pStyle w:val="ListParagraph"/>
              <w:numPr>
                <w:ilvl w:val="0"/>
                <w:numId w:val="21"/>
              </w:numPr>
              <w:spacing w:after="24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Percentage of real estate assets (based on market value) for which an analysis was conducted to determine local needs (e.g. walkability and liveability).</w:t>
            </w:r>
          </w:p>
          <w:p w14:paraId="6EDD83EC" w14:textId="77777777" w:rsidR="006644BF" w:rsidRPr="00D02441" w:rsidRDefault="00AA6CF2" w:rsidP="00F52BE9">
            <w:pPr>
              <w:pStyle w:val="ListParagraph"/>
              <w:numPr>
                <w:ilvl w:val="0"/>
                <w:numId w:val="21"/>
              </w:numPr>
              <w:spacing w:after="24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D02441">
              <w:rPr>
                <w:i w:val="0"/>
                <w:iCs/>
                <w:sz w:val="16"/>
                <w:lang w:val="en-GB"/>
              </w:rPr>
              <w:lastRenderedPageBreak/>
              <w:t xml:space="preserve">Percentage of real estate assets </w:t>
            </w:r>
            <w:r w:rsidRPr="00C835FF">
              <w:rPr>
                <w:i w:val="0"/>
                <w:iCs/>
                <w:sz w:val="16"/>
                <w:lang w:val="en-GB"/>
              </w:rPr>
              <w:t>(based on market value)</w:t>
            </w:r>
            <w:r w:rsidRPr="00D02441">
              <w:rPr>
                <w:i w:val="0"/>
                <w:iCs/>
                <w:sz w:val="16"/>
                <w:lang w:val="en-GB"/>
              </w:rPr>
              <w:t xml:space="preserve"> for which HRIAs have been conducted.</w:t>
            </w:r>
          </w:p>
          <w:p w14:paraId="59FED634" w14:textId="21149A6E" w:rsidR="00AA6CF2" w:rsidRPr="00D02441" w:rsidRDefault="00AA6CF2" w:rsidP="00F52BE9">
            <w:pPr>
              <w:pStyle w:val="ListParagraph"/>
              <w:numPr>
                <w:ilvl w:val="0"/>
                <w:numId w:val="21"/>
              </w:numPr>
              <w:spacing w:after="24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D02441">
              <w:rPr>
                <w:i w:val="0"/>
                <w:iCs/>
                <w:sz w:val="16"/>
                <w:lang w:val="en-GB"/>
              </w:rPr>
              <w:t>Percentage of real estate a</w:t>
            </w:r>
            <w:r w:rsidR="00CE338F" w:rsidRPr="00D02441">
              <w:rPr>
                <w:i w:val="0"/>
                <w:iCs/>
                <w:sz w:val="16"/>
                <w:lang w:val="en-GB"/>
              </w:rPr>
              <w:t>s</w:t>
            </w:r>
            <w:r w:rsidRPr="00D02441">
              <w:rPr>
                <w:i w:val="0"/>
                <w:iCs/>
                <w:sz w:val="16"/>
                <w:lang w:val="en-GB"/>
              </w:rPr>
              <w:t xml:space="preserve">sets </w:t>
            </w:r>
            <w:r w:rsidRPr="00C835FF">
              <w:rPr>
                <w:i w:val="0"/>
                <w:iCs/>
                <w:sz w:val="16"/>
                <w:lang w:val="en-GB"/>
              </w:rPr>
              <w:t>(based on market value)</w:t>
            </w:r>
            <w:r w:rsidRPr="00D02441">
              <w:rPr>
                <w:i w:val="0"/>
                <w:iCs/>
                <w:sz w:val="16"/>
                <w:lang w:val="en-GB"/>
              </w:rPr>
              <w:t xml:space="preserve"> for which a grievance mechanism is in place </w:t>
            </w:r>
            <w:r w:rsidRPr="00C835FF">
              <w:rPr>
                <w:i w:val="0"/>
                <w:iCs/>
                <w:sz w:val="16"/>
                <w:lang w:val="en-GB"/>
              </w:rPr>
              <w:t>at the level of Genesta and accessible on Genesta’s website</w:t>
            </w:r>
            <w:r w:rsidRPr="00D02441">
              <w:rPr>
                <w:i w:val="0"/>
                <w:iCs/>
                <w:sz w:val="16"/>
                <w:lang w:val="en-GB"/>
              </w:rPr>
              <w:t>.</w:t>
            </w:r>
          </w:p>
        </w:tc>
      </w:tr>
      <w:tr w:rsidR="00AA6CF2" w:rsidRPr="00E86AE8" w14:paraId="5D03A1BE" w14:textId="77777777" w:rsidTr="00553B6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41" w:type="pct"/>
          </w:tcPr>
          <w:p w14:paraId="79CC6953" w14:textId="77777777" w:rsidR="00AA6CF2" w:rsidRPr="00C835FF" w:rsidRDefault="00AA6CF2" w:rsidP="00553B6C">
            <w:pPr>
              <w:rPr>
                <w:i w:val="0"/>
                <w:iCs/>
                <w:sz w:val="16"/>
                <w:lang w:val="en-GB"/>
              </w:rPr>
            </w:pPr>
            <w:r w:rsidRPr="00C835FF">
              <w:rPr>
                <w:i w:val="0"/>
                <w:iCs/>
                <w:sz w:val="16"/>
                <w:lang w:val="en-GB"/>
              </w:rPr>
              <w:lastRenderedPageBreak/>
              <w:t>Supplier engagement</w:t>
            </w:r>
          </w:p>
        </w:tc>
        <w:tc>
          <w:tcPr>
            <w:tcW w:w="787" w:type="pct"/>
          </w:tcPr>
          <w:p w14:paraId="31F199B4"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The suppliers of the Fund must comply with recognized standards for responsible business conduct, incl. those enshrined in the OECD Guidelines for Multinational Enterprises, the UNGPs, including the principles and rights set out in the eight fundamental conventions identified in ILO Declaration and the International Bill of Human Rights.</w:t>
            </w:r>
          </w:p>
          <w:p w14:paraId="1CA24E4F"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HR DDs will be implemented, in which communities, suppliers and tenants will be considered. </w:t>
            </w:r>
          </w:p>
        </w:tc>
        <w:tc>
          <w:tcPr>
            <w:tcW w:w="931" w:type="pct"/>
          </w:tcPr>
          <w:p w14:paraId="19A2DDDB"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100% of supplier/service providers of the Fund will be subject to HR DD and Genesta will consider appropriate and feasible measures for 100% of non-compliant suppliers/service providers.</w:t>
            </w:r>
          </w:p>
        </w:tc>
        <w:tc>
          <w:tcPr>
            <w:tcW w:w="937" w:type="pct"/>
          </w:tcPr>
          <w:p w14:paraId="1825D408"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suppliers/service providers over which a HR DD has been conducted and percentage of non-compliant suppliers for whom Genesta will consider appropriate and feasible measures (e.g. engagement with relevant supplier).</w:t>
            </w:r>
          </w:p>
        </w:tc>
        <w:tc>
          <w:tcPr>
            <w:tcW w:w="930" w:type="pct"/>
          </w:tcPr>
          <w:p w14:paraId="7E43F698" w14:textId="77777777" w:rsidR="00AA6CF2" w:rsidRPr="00C835FF" w:rsidRDefault="00AA6CF2" w:rsidP="00F52BE9">
            <w:pPr>
              <w:pStyle w:val="ListParagraph"/>
              <w:numPr>
                <w:ilvl w:val="0"/>
                <w:numId w:val="17"/>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HRIAs will be conducted over 100% of suppliers/service providers (incl. engagement mechanism for non-compliant suppliers).</w:t>
            </w:r>
          </w:p>
          <w:p w14:paraId="10580E32" w14:textId="77777777" w:rsidR="00AA6CF2" w:rsidRPr="00C835FF" w:rsidRDefault="00AA6CF2" w:rsidP="00F52BE9">
            <w:pPr>
              <w:pStyle w:val="ListParagraph"/>
              <w:numPr>
                <w:ilvl w:val="0"/>
                <w:numId w:val="17"/>
              </w:numPr>
              <w:spacing w:before="60"/>
              <w:ind w:left="357" w:hanging="357"/>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For 100% of the real estate assets (based on market value) a grievance mechanism aligned with the criteria of the UNGPs will be available at the level of Genesta and accessible Genesta’s website.</w:t>
            </w:r>
          </w:p>
        </w:tc>
        <w:tc>
          <w:tcPr>
            <w:tcW w:w="874" w:type="pct"/>
          </w:tcPr>
          <w:p w14:paraId="1D255A13" w14:textId="77777777" w:rsidR="00AA6CF2" w:rsidRPr="00C835FF" w:rsidRDefault="00AA6CF2" w:rsidP="00F52BE9">
            <w:pPr>
              <w:pStyle w:val="ListParagraph"/>
              <w:numPr>
                <w:ilvl w:val="0"/>
                <w:numId w:val="18"/>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suppliers/service providers over which HRIAs have been conducted (incl. engagement mechanism for non-compliant suppliers).</w:t>
            </w:r>
          </w:p>
          <w:p w14:paraId="3CFD5070" w14:textId="77777777" w:rsidR="00AA6CF2" w:rsidRPr="00C835FF" w:rsidRDefault="00AA6CF2" w:rsidP="00F52BE9">
            <w:pPr>
              <w:pStyle w:val="ListParagraph"/>
              <w:numPr>
                <w:ilvl w:val="0"/>
                <w:numId w:val="18"/>
              </w:numPr>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t xml:space="preserve">Percentage of real estate assets </w:t>
            </w:r>
            <w:r w:rsidRPr="00C835FF">
              <w:rPr>
                <w:i w:val="0"/>
                <w:iCs/>
                <w:sz w:val="16"/>
                <w:lang w:val="en-GB"/>
              </w:rPr>
              <w:t>(based on market value)</w:t>
            </w:r>
            <w:r w:rsidRPr="00C835FF">
              <w:rPr>
                <w:i w:val="0"/>
                <w:iCs/>
                <w:sz w:val="16"/>
                <w:szCs w:val="16"/>
                <w:lang w:val="en-GB"/>
              </w:rPr>
              <w:t xml:space="preserve"> for which a grievance mechanism is in place at the level of Genesta and accessible on Genesta’s website.</w:t>
            </w:r>
          </w:p>
        </w:tc>
      </w:tr>
      <w:tr w:rsidR="00AA6CF2" w:rsidRPr="00E86AE8" w14:paraId="6B84E4D5" w14:textId="77777777" w:rsidTr="00553B6C">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541" w:type="pct"/>
          </w:tcPr>
          <w:p w14:paraId="6F60D3AE" w14:textId="77777777" w:rsidR="00AA6CF2" w:rsidRPr="00C835FF" w:rsidRDefault="00AA6CF2" w:rsidP="00553B6C">
            <w:pPr>
              <w:rPr>
                <w:i w:val="0"/>
                <w:iCs/>
                <w:sz w:val="16"/>
                <w:lang w:val="en-GB"/>
              </w:rPr>
            </w:pPr>
            <w:r w:rsidRPr="00C835FF">
              <w:rPr>
                <w:i w:val="0"/>
                <w:iCs/>
                <w:sz w:val="16"/>
                <w:lang w:val="en-GB"/>
              </w:rPr>
              <w:t>Tenant engagement</w:t>
            </w:r>
          </w:p>
        </w:tc>
        <w:tc>
          <w:tcPr>
            <w:tcW w:w="787" w:type="pct"/>
          </w:tcPr>
          <w:p w14:paraId="70A5BC5C"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A key element to the Fund’s social plan is the promotion of health &amp; well-being to tenants and ensuring respect for human rights.</w:t>
            </w:r>
          </w:p>
          <w:p w14:paraId="213802E5" w14:textId="77777777" w:rsidR="00AA6CF2" w:rsidRPr="00C835FF" w:rsidRDefault="00AA6CF2"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HR DDs will be implemented, in which communities, suppliers and tenants will be considered. </w:t>
            </w:r>
          </w:p>
        </w:tc>
        <w:tc>
          <w:tcPr>
            <w:tcW w:w="931" w:type="pct"/>
          </w:tcPr>
          <w:p w14:paraId="7CD3CD33" w14:textId="77777777" w:rsidR="00AA6CF2" w:rsidRPr="00C835FF" w:rsidRDefault="00AA6CF2" w:rsidP="00F52BE9">
            <w:pPr>
              <w:pStyle w:val="ListParagraph"/>
              <w:numPr>
                <w:ilvl w:val="0"/>
                <w:numId w:val="1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100% of tenants of the Fund will be subject to HR DD and Genesta will consider appropriate and feasible measures for 100% of non-compliant tenants.</w:t>
            </w:r>
          </w:p>
          <w:p w14:paraId="64741EB4" w14:textId="77777777" w:rsidR="00AA6CF2" w:rsidRPr="00C835FF" w:rsidRDefault="00AA6CF2" w:rsidP="00F52BE9">
            <w:pPr>
              <w:pStyle w:val="ListParagraph"/>
              <w:numPr>
                <w:ilvl w:val="0"/>
                <w:numId w:val="1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Targeted and individual tenant engagement program (as set out under measurement for long-term targets) for 100% of real estate assets (based on </w:t>
            </w:r>
            <w:r w:rsidRPr="00C835FF">
              <w:rPr>
                <w:i w:val="0"/>
                <w:iCs/>
                <w:sz w:val="16"/>
                <w:lang w:val="en-GB"/>
              </w:rPr>
              <w:lastRenderedPageBreak/>
              <w:t>market value) in place.</w:t>
            </w:r>
          </w:p>
          <w:p w14:paraId="55CABEEC" w14:textId="77777777" w:rsidR="00AA6CF2" w:rsidRPr="00C835FF" w:rsidRDefault="00AA6CF2" w:rsidP="00F52BE9">
            <w:pPr>
              <w:pStyle w:val="ListParagraph"/>
              <w:numPr>
                <w:ilvl w:val="0"/>
                <w:numId w:val="1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Implementation of green leases for 100% new or renewed tenant contracts.</w:t>
            </w:r>
          </w:p>
          <w:p w14:paraId="5E0B5446" w14:textId="77777777" w:rsidR="00AA6CF2" w:rsidRPr="00C835FF" w:rsidRDefault="00AA6CF2" w:rsidP="00F52BE9">
            <w:pPr>
              <w:pStyle w:val="ListParagraph"/>
              <w:numPr>
                <w:ilvl w:val="0"/>
                <w:numId w:val="1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Supply of healthy indoor air quality and healthy ambient noise levels in 100% of the real estate assets (based on market value).</w:t>
            </w:r>
          </w:p>
          <w:p w14:paraId="73ACFAE3" w14:textId="77777777" w:rsidR="00AA6CF2" w:rsidRPr="00C835FF" w:rsidRDefault="00AA6CF2" w:rsidP="00F52BE9">
            <w:pPr>
              <w:pStyle w:val="ListParagraph"/>
              <w:numPr>
                <w:ilvl w:val="0"/>
                <w:numId w:val="1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t>100% of tenants will be provided with annual survey on tenant satisfaction.</w:t>
            </w:r>
          </w:p>
        </w:tc>
        <w:tc>
          <w:tcPr>
            <w:tcW w:w="937" w:type="pct"/>
          </w:tcPr>
          <w:p w14:paraId="4E21C12A" w14:textId="77777777" w:rsidR="00AA6CF2" w:rsidRPr="00C835FF" w:rsidRDefault="00AA6CF2" w:rsidP="00F52BE9">
            <w:pPr>
              <w:pStyle w:val="ListParagraph"/>
              <w:numPr>
                <w:ilvl w:val="0"/>
                <w:numId w:val="2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Percentage of tenants over which a HR DD has been conducted and percentage of non-compliant tenants for whom Genesta will consider appropriate and feasible measures (e.g. engagement with relevant tenant).</w:t>
            </w:r>
          </w:p>
          <w:p w14:paraId="7FFC34E8" w14:textId="77777777" w:rsidR="00AA6CF2" w:rsidRPr="00C835FF" w:rsidRDefault="00AA6CF2" w:rsidP="00F52BE9">
            <w:pPr>
              <w:pStyle w:val="ListParagraph"/>
              <w:numPr>
                <w:ilvl w:val="0"/>
                <w:numId w:val="2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Promotion of tenant engagement by implementation of an individual tenant engagement program for a real estate asset requiring the </w:t>
            </w:r>
            <w:r w:rsidRPr="00C835FF">
              <w:rPr>
                <w:i w:val="0"/>
                <w:iCs/>
                <w:sz w:val="16"/>
                <w:lang w:val="en-GB"/>
              </w:rPr>
              <w:lastRenderedPageBreak/>
              <w:t>implementation of at least one activity annually for each of the following topics depending on local needs.</w:t>
            </w:r>
          </w:p>
          <w:p w14:paraId="0986A185" w14:textId="77777777" w:rsidR="00AA6CF2" w:rsidRPr="00C835FF" w:rsidRDefault="00AA6CF2" w:rsidP="00553B6C">
            <w:pPr>
              <w:ind w:left="360"/>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Topics:</w:t>
            </w:r>
          </w:p>
          <w:p w14:paraId="0CEF1AE6" w14:textId="77777777" w:rsidR="00AA6CF2" w:rsidRPr="00C835FF" w:rsidRDefault="00AA6CF2" w:rsidP="00F52BE9">
            <w:pPr>
              <w:pStyle w:val="ListParagraph"/>
              <w:numPr>
                <w:ilvl w:val="0"/>
                <w:numId w:val="22"/>
              </w:numPr>
              <w:spacing w:before="120" w:after="120" w:line="220" w:lineRule="atLeast"/>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Health &amp; well-being and/or recreational spaces (e.g. showers/locker rooms)</w:t>
            </w:r>
          </w:p>
          <w:p w14:paraId="4BE7AA24" w14:textId="77777777" w:rsidR="00AA6CF2" w:rsidRPr="00C835FF" w:rsidRDefault="00AA6CF2" w:rsidP="00F52BE9">
            <w:pPr>
              <w:pStyle w:val="ListParagraph"/>
              <w:numPr>
                <w:ilvl w:val="0"/>
                <w:numId w:val="22"/>
              </w:numPr>
              <w:spacing w:before="120" w:after="120" w:line="220" w:lineRule="atLeast"/>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Commuting (e.g. bicycle parking) </w:t>
            </w:r>
          </w:p>
          <w:p w14:paraId="117716F3" w14:textId="77777777" w:rsidR="00AA6CF2" w:rsidRPr="00C835FF" w:rsidRDefault="00AA6CF2" w:rsidP="00F52BE9">
            <w:pPr>
              <w:pStyle w:val="ListParagraph"/>
              <w:numPr>
                <w:ilvl w:val="0"/>
                <w:numId w:val="22"/>
              </w:numPr>
              <w:spacing w:before="120" w:after="120" w:line="220" w:lineRule="atLeast"/>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Communication on ESG matters through tenant engagement screens for 50% of all tenants</w:t>
            </w:r>
          </w:p>
          <w:p w14:paraId="20B82306" w14:textId="77777777" w:rsidR="00AA6CF2" w:rsidRPr="00C835FF" w:rsidRDefault="00AA6CF2" w:rsidP="00F52BE9">
            <w:pPr>
              <w:pStyle w:val="ListParagraph"/>
              <w:numPr>
                <w:ilvl w:val="0"/>
                <w:numId w:val="2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implemented green leases for new or renewed tenant contracts.</w:t>
            </w:r>
          </w:p>
          <w:p w14:paraId="5324603D" w14:textId="77777777" w:rsidR="00AA6CF2" w:rsidRPr="00C835FF" w:rsidRDefault="00AA6CF2" w:rsidP="00F52BE9">
            <w:pPr>
              <w:pStyle w:val="ListParagraph"/>
              <w:numPr>
                <w:ilvl w:val="0"/>
                <w:numId w:val="2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real estate assets (based on market value) with air quality and ambient noise measurement.</w:t>
            </w:r>
          </w:p>
          <w:p w14:paraId="358CF3CE" w14:textId="77777777" w:rsidR="00AA6CF2" w:rsidRPr="00C835FF" w:rsidRDefault="00AA6CF2" w:rsidP="00F52BE9">
            <w:pPr>
              <w:pStyle w:val="ListParagraph"/>
              <w:numPr>
                <w:ilvl w:val="0"/>
                <w:numId w:val="2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Percentage of tenants provided with annual survey on tenant satisfaction.</w:t>
            </w:r>
          </w:p>
        </w:tc>
        <w:tc>
          <w:tcPr>
            <w:tcW w:w="930" w:type="pct"/>
          </w:tcPr>
          <w:p w14:paraId="7B71F209" w14:textId="77777777" w:rsidR="00AA6CF2" w:rsidRPr="00C835FF" w:rsidRDefault="00AA6CF2" w:rsidP="00F52BE9">
            <w:pPr>
              <w:pStyle w:val="ListParagraph"/>
              <w:numPr>
                <w:ilvl w:val="0"/>
                <w:numId w:val="2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lastRenderedPageBreak/>
              <w:t>HRIAs will be conducted over 100% of the tenants.</w:t>
            </w:r>
            <w:r w:rsidRPr="00C835FF">
              <w:rPr>
                <w:i w:val="0"/>
                <w:iCs/>
                <w:sz w:val="16"/>
                <w:lang w:val="en-GB"/>
              </w:rPr>
              <w:t xml:space="preserve"> (incl. engagement mechanism for non-compliant tenants).</w:t>
            </w:r>
          </w:p>
          <w:p w14:paraId="5D5F390E" w14:textId="77777777" w:rsidR="00AA6CF2" w:rsidRPr="00C835FF" w:rsidRDefault="00AA6CF2" w:rsidP="00F52BE9">
            <w:pPr>
              <w:pStyle w:val="ListParagraph"/>
              <w:numPr>
                <w:ilvl w:val="0"/>
                <w:numId w:val="2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Identification of tenant needs for 100% of real estate assets</w:t>
            </w:r>
            <w:r w:rsidRPr="00C835FF">
              <w:rPr>
                <w:i w:val="0"/>
                <w:iCs/>
                <w:sz w:val="16"/>
                <w:szCs w:val="16"/>
                <w:lang w:val="en-GB"/>
              </w:rPr>
              <w:t xml:space="preserve"> </w:t>
            </w:r>
            <w:r w:rsidRPr="00C835FF">
              <w:rPr>
                <w:i w:val="0"/>
                <w:iCs/>
                <w:sz w:val="16"/>
                <w:lang w:val="en-GB"/>
              </w:rPr>
              <w:t>(based on market value)</w:t>
            </w:r>
            <w:r w:rsidRPr="00C835FF">
              <w:rPr>
                <w:i w:val="0"/>
                <w:iCs/>
                <w:sz w:val="16"/>
                <w:szCs w:val="16"/>
                <w:lang w:val="en-GB"/>
              </w:rPr>
              <w:t xml:space="preserve"> to begin the development of a tenant engagement program </w:t>
            </w:r>
            <w:r w:rsidRPr="00C835FF">
              <w:rPr>
                <w:i w:val="0"/>
                <w:iCs/>
                <w:sz w:val="16"/>
                <w:lang w:val="en-GB"/>
              </w:rPr>
              <w:t>(as set out under measurement for long-term targets).</w:t>
            </w:r>
          </w:p>
          <w:p w14:paraId="291CBC9B" w14:textId="5F2050E4" w:rsidR="00AA6CF2" w:rsidRPr="00C835FF" w:rsidRDefault="00AA6CF2" w:rsidP="00F52BE9">
            <w:pPr>
              <w:pStyle w:val="ListParagraph"/>
              <w:numPr>
                <w:ilvl w:val="0"/>
                <w:numId w:val="2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For 100% of the real estate assets (based </w:t>
            </w:r>
            <w:r w:rsidRPr="00C835FF">
              <w:rPr>
                <w:i w:val="0"/>
                <w:iCs/>
                <w:sz w:val="16"/>
                <w:lang w:val="en-GB"/>
              </w:rPr>
              <w:lastRenderedPageBreak/>
              <w:t xml:space="preserve">on market value) a grievance mechanism aligned with the criteria of the UNGPs will be available at the level of Genesta and accessible on </w:t>
            </w:r>
            <w:r w:rsidR="00CE338F" w:rsidRPr="00C835FF">
              <w:rPr>
                <w:i w:val="0"/>
                <w:iCs/>
                <w:sz w:val="16"/>
                <w:lang w:val="en-GB"/>
              </w:rPr>
              <w:t>Genesta’s</w:t>
            </w:r>
            <w:r w:rsidRPr="00C835FF">
              <w:rPr>
                <w:i w:val="0"/>
                <w:iCs/>
                <w:sz w:val="16"/>
                <w:lang w:val="en-GB"/>
              </w:rPr>
              <w:t xml:space="preserve"> website.</w:t>
            </w:r>
          </w:p>
          <w:p w14:paraId="4E7C5D13" w14:textId="36C6F4A8" w:rsidR="00AA6CF2" w:rsidRPr="00C835FF" w:rsidRDefault="00755AD0" w:rsidP="00F52BE9">
            <w:pPr>
              <w:pStyle w:val="ListParagraph"/>
              <w:numPr>
                <w:ilvl w:val="0"/>
                <w:numId w:val="2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Pr>
                <w:i w:val="0"/>
                <w:iCs/>
                <w:sz w:val="16"/>
                <w:lang w:val="en-GB"/>
              </w:rPr>
              <w:t>Genesta</w:t>
            </w:r>
            <w:r w:rsidR="00AA6CF2" w:rsidRPr="00C835FF">
              <w:rPr>
                <w:i w:val="0"/>
                <w:iCs/>
                <w:sz w:val="16"/>
                <w:lang w:val="en-GB"/>
              </w:rPr>
              <w:t xml:space="preserve"> will undertake reasonable best efforts (with a view to data protection and other applicable laws, regulations and rules) to include in any new lease contract provisions relating to tenant space screens which provide information on present energy and wellbeing.</w:t>
            </w:r>
          </w:p>
          <w:p w14:paraId="140B88C8" w14:textId="77777777" w:rsidR="00AA6CF2" w:rsidRPr="00C835FF" w:rsidRDefault="00AA6CF2" w:rsidP="00F52BE9">
            <w:pPr>
              <w:pStyle w:val="ListParagraph"/>
              <w:numPr>
                <w:ilvl w:val="0"/>
                <w:numId w:val="2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Updating any green lease standards used by Genesta on </w:t>
            </w:r>
            <w:r w:rsidRPr="00C835FF">
              <w:rPr>
                <w:i w:val="0"/>
                <w:iCs/>
                <w:sz w:val="16"/>
                <w:szCs w:val="16"/>
                <w:lang w:val="en-GB"/>
              </w:rPr>
              <w:t xml:space="preserve">an </w:t>
            </w:r>
            <w:r w:rsidRPr="00C835FF">
              <w:rPr>
                <w:i w:val="0"/>
                <w:iCs/>
                <w:sz w:val="16"/>
                <w:lang w:val="en-GB"/>
              </w:rPr>
              <w:t xml:space="preserve">annual basis (including </w:t>
            </w:r>
            <w:r w:rsidRPr="00C835FF">
              <w:rPr>
                <w:sz w:val="16"/>
                <w:lang w:val="en-GB"/>
              </w:rPr>
              <w:t>inter alia</w:t>
            </w:r>
            <w:r w:rsidRPr="00C835FF">
              <w:rPr>
                <w:i w:val="0"/>
                <w:iCs/>
                <w:sz w:val="16"/>
                <w:lang w:val="en-GB"/>
              </w:rPr>
              <w:t xml:space="preserve"> a firm obligation of the tenant to use green electricity).</w:t>
            </w:r>
          </w:p>
          <w:p w14:paraId="198B2332" w14:textId="203D789F" w:rsidR="00AA6CF2" w:rsidRPr="00C835FF" w:rsidRDefault="00AA6CF2" w:rsidP="00F52BE9">
            <w:pPr>
              <w:pStyle w:val="ListParagraph"/>
              <w:numPr>
                <w:ilvl w:val="0"/>
                <w:numId w:val="2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50% of real estate assets (based on market value) include meters according to </w:t>
            </w:r>
            <w:r w:rsidR="005D44DD">
              <w:rPr>
                <w:i w:val="0"/>
                <w:iCs/>
                <w:sz w:val="16"/>
                <w:szCs w:val="16"/>
                <w:lang w:val="en-GB"/>
              </w:rPr>
              <w:t>the Investment Advisor</w:t>
            </w:r>
            <w:r w:rsidR="005D44DD" w:rsidRPr="00C835FF">
              <w:rPr>
                <w:i w:val="0"/>
                <w:iCs/>
                <w:sz w:val="16"/>
                <w:szCs w:val="16"/>
                <w:lang w:val="en-GB"/>
              </w:rPr>
              <w:t xml:space="preserve">’s </w:t>
            </w:r>
            <w:r w:rsidRPr="00C835FF">
              <w:rPr>
                <w:i w:val="0"/>
                <w:iCs/>
                <w:sz w:val="16"/>
                <w:szCs w:val="16"/>
                <w:lang w:val="en-GB"/>
              </w:rPr>
              <w:t xml:space="preserve">metering policy (as amended from time to time), which applies to all assets managed by Genesta (including real estate assets of the Fund) and which sets out </w:t>
            </w:r>
            <w:r w:rsidR="006E2494">
              <w:rPr>
                <w:i w:val="0"/>
                <w:iCs/>
                <w:sz w:val="16"/>
                <w:szCs w:val="16"/>
                <w:lang w:val="en-GB"/>
              </w:rPr>
              <w:t xml:space="preserve">the Investment </w:t>
            </w:r>
            <w:r w:rsidR="006E2494">
              <w:rPr>
                <w:i w:val="0"/>
                <w:iCs/>
                <w:sz w:val="16"/>
                <w:szCs w:val="16"/>
                <w:lang w:val="en-GB"/>
              </w:rPr>
              <w:lastRenderedPageBreak/>
              <w:t>Advisor</w:t>
            </w:r>
            <w:r w:rsidR="006E2494" w:rsidRPr="00C835FF">
              <w:rPr>
                <w:i w:val="0"/>
                <w:iCs/>
                <w:sz w:val="16"/>
                <w:szCs w:val="16"/>
                <w:lang w:val="en-GB"/>
              </w:rPr>
              <w:t xml:space="preserve">’s </w:t>
            </w:r>
            <w:r w:rsidRPr="00C835FF">
              <w:rPr>
                <w:i w:val="0"/>
                <w:iCs/>
                <w:sz w:val="16"/>
                <w:szCs w:val="16"/>
                <w:lang w:val="en-GB"/>
              </w:rPr>
              <w:t>processes and requirements for the installation of meters in buildings and the collection of data via such meters with the aim to display such data to tenants (“</w:t>
            </w:r>
            <w:r w:rsidRPr="00C835FF">
              <w:rPr>
                <w:b/>
                <w:bCs/>
                <w:i w:val="0"/>
                <w:iCs/>
                <w:sz w:val="16"/>
                <w:szCs w:val="16"/>
                <w:lang w:val="en-GB"/>
              </w:rPr>
              <w:t>Genesta Metering Policy</w:t>
            </w:r>
            <w:r w:rsidRPr="00C835FF">
              <w:rPr>
                <w:i w:val="0"/>
                <w:iCs/>
                <w:sz w:val="16"/>
                <w:szCs w:val="16"/>
                <w:lang w:val="en-GB"/>
              </w:rPr>
              <w:t xml:space="preserve">”) </w:t>
            </w:r>
            <w:r w:rsidRPr="00C835FF">
              <w:rPr>
                <w:i w:val="0"/>
                <w:iCs/>
                <w:sz w:val="16"/>
                <w:lang w:val="en-GB"/>
              </w:rPr>
              <w:t>(e.g. to measure air quality and ambient noise).</w:t>
            </w:r>
          </w:p>
          <w:p w14:paraId="09D1F408" w14:textId="77777777" w:rsidR="00AA6CF2" w:rsidRPr="00C835FF" w:rsidRDefault="00AA6CF2" w:rsidP="00F52BE9">
            <w:pPr>
              <w:pStyle w:val="ListParagraph"/>
              <w:numPr>
                <w:ilvl w:val="0"/>
                <w:numId w:val="2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t>100% of tenants will be provided with annual survey on tenant satisfaction.</w:t>
            </w:r>
          </w:p>
        </w:tc>
        <w:tc>
          <w:tcPr>
            <w:tcW w:w="874" w:type="pct"/>
          </w:tcPr>
          <w:p w14:paraId="568B9997" w14:textId="77777777" w:rsidR="00AA6CF2" w:rsidRPr="00C835FF" w:rsidRDefault="00AA6CF2" w:rsidP="00F52BE9">
            <w:pPr>
              <w:pStyle w:val="ListParagraph"/>
              <w:numPr>
                <w:ilvl w:val="0"/>
                <w:numId w:val="23"/>
              </w:numPr>
              <w:spacing w:after="24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lastRenderedPageBreak/>
              <w:t>Percentage of tenants over which HRIAs have been conducted (incl. engagement mechanism for non-compliant tenants).</w:t>
            </w:r>
          </w:p>
          <w:p w14:paraId="44902905" w14:textId="77777777" w:rsidR="00AA6CF2" w:rsidRPr="00C835FF" w:rsidRDefault="00AA6CF2" w:rsidP="00F52BE9">
            <w:pPr>
              <w:pStyle w:val="ListParagraph"/>
              <w:numPr>
                <w:ilvl w:val="0"/>
                <w:numId w:val="23"/>
              </w:numPr>
              <w:spacing w:before="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 xml:space="preserve">Percentage of real estate assets (based on market value) for which tenants needs have been identified in order to begin development of a </w:t>
            </w:r>
            <w:r w:rsidRPr="00C835FF">
              <w:rPr>
                <w:i w:val="0"/>
                <w:iCs/>
                <w:sz w:val="16"/>
                <w:szCs w:val="16"/>
                <w:lang w:val="en-GB"/>
              </w:rPr>
              <w:t xml:space="preserve">tenant engagement program </w:t>
            </w:r>
            <w:r w:rsidRPr="00C835FF">
              <w:rPr>
                <w:i w:val="0"/>
                <w:iCs/>
                <w:sz w:val="16"/>
                <w:lang w:val="en-GB"/>
              </w:rPr>
              <w:t xml:space="preserve">(as set out under measurement </w:t>
            </w:r>
            <w:r w:rsidRPr="00C835FF">
              <w:rPr>
                <w:i w:val="0"/>
                <w:iCs/>
                <w:sz w:val="16"/>
                <w:lang w:val="en-GB"/>
              </w:rPr>
              <w:lastRenderedPageBreak/>
              <w:t>for long-term targets).</w:t>
            </w:r>
          </w:p>
          <w:p w14:paraId="6982859F" w14:textId="77777777" w:rsidR="00AA6CF2" w:rsidRPr="00C835FF" w:rsidRDefault="00AA6CF2" w:rsidP="00F52BE9">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i w:val="0"/>
                <w:iCs/>
                <w:sz w:val="16"/>
                <w:szCs w:val="16"/>
                <w:lang w:val="en-GB"/>
              </w:rPr>
            </w:pPr>
            <w:r w:rsidRPr="00C835FF">
              <w:rPr>
                <w:i w:val="0"/>
                <w:iCs/>
                <w:sz w:val="16"/>
                <w:szCs w:val="16"/>
                <w:lang w:val="en-GB"/>
              </w:rPr>
              <w:t xml:space="preserve">Percentage of real estate assets </w:t>
            </w:r>
            <w:r w:rsidRPr="00C835FF">
              <w:rPr>
                <w:i w:val="0"/>
                <w:iCs/>
                <w:sz w:val="16"/>
                <w:lang w:val="en-GB"/>
              </w:rPr>
              <w:t>(based on market value)</w:t>
            </w:r>
            <w:r w:rsidRPr="00C835FF">
              <w:rPr>
                <w:i w:val="0"/>
                <w:iCs/>
                <w:sz w:val="16"/>
                <w:szCs w:val="16"/>
                <w:lang w:val="en-GB"/>
              </w:rPr>
              <w:t xml:space="preserve"> for which a grievance mechanism is in place at the level of Genesta and accessible on </w:t>
            </w:r>
            <w:r w:rsidRPr="00C72EF0">
              <w:rPr>
                <w:i w:val="0"/>
                <w:iCs/>
                <w:sz w:val="16"/>
                <w:szCs w:val="16"/>
                <w:lang w:val="en-GB"/>
              </w:rPr>
              <w:t>Genesta’s</w:t>
            </w:r>
            <w:r w:rsidRPr="00C835FF">
              <w:rPr>
                <w:i w:val="0"/>
                <w:iCs/>
                <w:sz w:val="16"/>
                <w:szCs w:val="16"/>
                <w:lang w:val="en-GB"/>
              </w:rPr>
              <w:t xml:space="preserve"> website.</w:t>
            </w:r>
          </w:p>
          <w:p w14:paraId="4F4D18AD" w14:textId="77777777" w:rsidR="00AA6CF2" w:rsidRPr="00C835FF" w:rsidRDefault="00AA6CF2" w:rsidP="00F52BE9">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lang w:val="en-GB"/>
              </w:rPr>
              <w:t>Inclusion of provisions relating to tenant space screens in new lease contracts.</w:t>
            </w:r>
          </w:p>
          <w:p w14:paraId="5BB87E9C" w14:textId="77777777" w:rsidR="00AA6CF2" w:rsidRPr="00C835FF" w:rsidRDefault="00AA6CF2" w:rsidP="00F52BE9">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C835FF">
              <w:rPr>
                <w:i w:val="0"/>
                <w:iCs/>
                <w:sz w:val="16"/>
                <w:szCs w:val="16"/>
                <w:lang w:val="en-GB"/>
              </w:rPr>
              <w:t>Annual green</w:t>
            </w:r>
            <w:r w:rsidRPr="00C835FF">
              <w:rPr>
                <w:i w:val="0"/>
                <w:iCs/>
                <w:sz w:val="16"/>
                <w:lang w:val="en-GB"/>
              </w:rPr>
              <w:t xml:space="preserve"> lease update.</w:t>
            </w:r>
          </w:p>
          <w:p w14:paraId="4FDE17BD" w14:textId="77777777" w:rsidR="00AA6CF2" w:rsidRPr="00C835FF" w:rsidRDefault="00AA6CF2" w:rsidP="00F52BE9">
            <w:pPr>
              <w:pStyle w:val="ListParagraph"/>
              <w:numPr>
                <w:ilvl w:val="0"/>
                <w:numId w:val="23"/>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szCs w:val="16"/>
                <w:lang w:val="en-GB"/>
              </w:rPr>
            </w:pPr>
            <w:r w:rsidRPr="00C835FF">
              <w:rPr>
                <w:i w:val="0"/>
                <w:iCs/>
                <w:sz w:val="16"/>
                <w:szCs w:val="16"/>
                <w:lang w:val="en-GB"/>
              </w:rPr>
              <w:t xml:space="preserve">Percentage of real estate assets </w:t>
            </w:r>
            <w:r w:rsidRPr="00C835FF">
              <w:rPr>
                <w:i w:val="0"/>
                <w:iCs/>
                <w:sz w:val="16"/>
                <w:lang w:val="en-GB"/>
              </w:rPr>
              <w:t>(based on market value)</w:t>
            </w:r>
            <w:r w:rsidRPr="00C835FF">
              <w:rPr>
                <w:i w:val="0"/>
                <w:iCs/>
                <w:sz w:val="16"/>
                <w:szCs w:val="16"/>
                <w:lang w:val="en-GB"/>
              </w:rPr>
              <w:t xml:space="preserve"> in which meters are installed according to the Genesta Metering Policy.</w:t>
            </w:r>
          </w:p>
          <w:p w14:paraId="16418B2C" w14:textId="77777777" w:rsidR="00AA6CF2" w:rsidRPr="00C835FF" w:rsidRDefault="00AA6CF2" w:rsidP="00F52BE9">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i w:val="0"/>
                <w:iCs/>
                <w:sz w:val="16"/>
                <w:szCs w:val="16"/>
                <w:lang w:val="en-GB"/>
              </w:rPr>
            </w:pPr>
            <w:r w:rsidRPr="00C835FF">
              <w:rPr>
                <w:i w:val="0"/>
                <w:iCs/>
                <w:sz w:val="16"/>
                <w:lang w:val="en-GB"/>
              </w:rPr>
              <w:t>Percentage of tenants provided with annual survey on tenant satisfaction.</w:t>
            </w:r>
          </w:p>
        </w:tc>
      </w:tr>
    </w:tbl>
    <w:p w14:paraId="644BB504" w14:textId="157AF152" w:rsidR="00AA6CF2" w:rsidRPr="00821955" w:rsidRDefault="00821955" w:rsidP="001F5AEE">
      <w:pPr>
        <w:pStyle w:val="BodyText"/>
        <w:spacing w:before="114" w:after="120"/>
        <w:ind w:left="136" w:right="136"/>
        <w:jc w:val="both"/>
        <w:rPr>
          <w:u w:val="single"/>
          <w:lang w:val="en-GB"/>
        </w:rPr>
      </w:pPr>
      <w:r w:rsidRPr="00821955">
        <w:rPr>
          <w:u w:val="single"/>
          <w:lang w:val="en-GB"/>
        </w:rPr>
        <w:lastRenderedPageBreak/>
        <w:t>Govern</w:t>
      </w:r>
      <w:r w:rsidR="002F677A">
        <w:rPr>
          <w:u w:val="single"/>
          <w:lang w:val="en-GB"/>
        </w:rPr>
        <w:t>ance</w:t>
      </w:r>
      <w:r w:rsidRPr="00821955">
        <w:rPr>
          <w:u w:val="single"/>
          <w:lang w:val="en-GB"/>
        </w:rPr>
        <w:t xml:space="preserve"> characteristics</w:t>
      </w:r>
    </w:p>
    <w:tbl>
      <w:tblPr>
        <w:tblStyle w:val="GenestaTable2"/>
        <w:tblW w:w="5778" w:type="pct"/>
        <w:tblInd w:w="137" w:type="dxa"/>
        <w:tblLayout w:type="fixed"/>
        <w:tblLook w:val="04A0" w:firstRow="1" w:lastRow="0" w:firstColumn="1" w:lastColumn="0" w:noHBand="0" w:noVBand="1"/>
      </w:tblPr>
      <w:tblGrid>
        <w:gridCol w:w="1077"/>
        <w:gridCol w:w="1534"/>
        <w:gridCol w:w="1871"/>
        <w:gridCol w:w="1816"/>
        <w:gridCol w:w="1814"/>
        <w:gridCol w:w="1757"/>
      </w:tblGrid>
      <w:tr w:rsidR="00D02441" w:rsidRPr="00E86AE8" w14:paraId="22D9A268" w14:textId="77777777" w:rsidTr="00D02441">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546" w:type="pct"/>
          </w:tcPr>
          <w:p w14:paraId="18EE5287" w14:textId="77777777" w:rsidR="008A42F7" w:rsidRPr="0092008A" w:rsidRDefault="008A42F7" w:rsidP="00553B6C">
            <w:pPr>
              <w:jc w:val="left"/>
              <w:rPr>
                <w:i w:val="0"/>
                <w:iCs/>
                <w:sz w:val="16"/>
                <w:lang w:val="en-GB"/>
              </w:rPr>
            </w:pPr>
            <w:r w:rsidRPr="0092008A">
              <w:rPr>
                <w:i w:val="0"/>
                <w:iCs/>
                <w:sz w:val="16"/>
                <w:lang w:val="en-GB"/>
              </w:rPr>
              <w:t>Topic</w:t>
            </w:r>
          </w:p>
        </w:tc>
        <w:tc>
          <w:tcPr>
            <w:tcW w:w="777" w:type="pct"/>
          </w:tcPr>
          <w:p w14:paraId="09E0C051" w14:textId="77777777" w:rsidR="008A42F7" w:rsidRPr="0092008A" w:rsidRDefault="008A42F7" w:rsidP="00553B6C">
            <w:pPr>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Description</w:t>
            </w:r>
          </w:p>
        </w:tc>
        <w:tc>
          <w:tcPr>
            <w:tcW w:w="948" w:type="pct"/>
          </w:tcPr>
          <w:p w14:paraId="0E3E8A8B" w14:textId="77777777" w:rsidR="008A42F7" w:rsidRPr="0092008A" w:rsidRDefault="008A42F7" w:rsidP="00553B6C">
            <w:pPr>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Long-Term Targets (until 2030)</w:t>
            </w:r>
          </w:p>
        </w:tc>
        <w:tc>
          <w:tcPr>
            <w:tcW w:w="920" w:type="pct"/>
          </w:tcPr>
          <w:p w14:paraId="1055A2EF" w14:textId="77777777" w:rsidR="008A42F7" w:rsidRPr="0092008A" w:rsidRDefault="008A42F7" w:rsidP="00553B6C">
            <w:pPr>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Measurements for Long-Term Targets</w:t>
            </w:r>
          </w:p>
        </w:tc>
        <w:tc>
          <w:tcPr>
            <w:tcW w:w="919" w:type="pct"/>
          </w:tcPr>
          <w:p w14:paraId="40585349" w14:textId="77777777" w:rsidR="008A42F7" w:rsidRPr="0092008A" w:rsidRDefault="008A42F7" w:rsidP="00553B6C">
            <w:pPr>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Short-Term Targets (until end of 2023)</w:t>
            </w:r>
          </w:p>
        </w:tc>
        <w:tc>
          <w:tcPr>
            <w:tcW w:w="890" w:type="pct"/>
          </w:tcPr>
          <w:p w14:paraId="177FF4A8" w14:textId="77777777" w:rsidR="008A42F7" w:rsidRPr="0092008A" w:rsidRDefault="008A42F7" w:rsidP="00553B6C">
            <w:pPr>
              <w:jc w:val="left"/>
              <w:cnfStyle w:val="100000000000" w:firstRow="1"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Measurements for Short-Term Targets</w:t>
            </w:r>
          </w:p>
        </w:tc>
      </w:tr>
      <w:tr w:rsidR="00D02441" w:rsidRPr="00E86AE8" w14:paraId="071E02B6" w14:textId="77777777" w:rsidTr="00D02441">
        <w:tblPrEx>
          <w:tblCellMar>
            <w:left w:w="108" w:type="dxa"/>
            <w:right w:w="108" w:type="dxa"/>
          </w:tblCellMar>
        </w:tblPrEx>
        <w:trPr>
          <w:trHeight w:val="851"/>
        </w:trPr>
        <w:tc>
          <w:tcPr>
            <w:cnfStyle w:val="001000000000" w:firstRow="0" w:lastRow="0" w:firstColumn="1" w:lastColumn="0" w:oddVBand="0" w:evenVBand="0" w:oddHBand="0" w:evenHBand="0" w:firstRowFirstColumn="0" w:firstRowLastColumn="0" w:lastRowFirstColumn="0" w:lastRowLastColumn="0"/>
            <w:tcW w:w="546" w:type="pct"/>
          </w:tcPr>
          <w:p w14:paraId="12382D4D" w14:textId="77777777" w:rsidR="008A42F7" w:rsidRPr="0092008A" w:rsidRDefault="008A42F7" w:rsidP="00553B6C">
            <w:pPr>
              <w:rPr>
                <w:i w:val="0"/>
                <w:iCs/>
                <w:sz w:val="16"/>
                <w:lang w:val="en-GB"/>
              </w:rPr>
            </w:pPr>
            <w:r w:rsidRPr="0092008A">
              <w:rPr>
                <w:i w:val="0"/>
                <w:iCs/>
                <w:sz w:val="16"/>
                <w:lang w:val="en-GB"/>
              </w:rPr>
              <w:t>Data management</w:t>
            </w:r>
          </w:p>
        </w:tc>
        <w:tc>
          <w:tcPr>
            <w:tcW w:w="777" w:type="pct"/>
          </w:tcPr>
          <w:p w14:paraId="102E9B52" w14:textId="5DD1A80A" w:rsidR="008A42F7" w:rsidRPr="007D7C41"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7D7C41">
              <w:rPr>
                <w:i w:val="0"/>
                <w:iCs/>
                <w:sz w:val="16"/>
                <w:lang w:val="en-GB"/>
              </w:rPr>
              <w:t>As the assurance of ESG data (</w:t>
            </w:r>
            <w:r w:rsidRPr="00D02441">
              <w:rPr>
                <w:i w:val="0"/>
                <w:iCs/>
                <w:sz w:val="16"/>
                <w:lang w:val="en-GB"/>
              </w:rPr>
              <w:t>e.g. environmental data like energy consumption and greenhouse gas emissions, social data like the employees’ and management boards’ gender ratio</w:t>
            </w:r>
            <w:r w:rsidRPr="007D7C41">
              <w:rPr>
                <w:i w:val="0"/>
                <w:iCs/>
                <w:sz w:val="16"/>
                <w:lang w:val="en-GB"/>
              </w:rPr>
              <w:t xml:space="preserve">) is neither regulated nor required, Genesta wants to set best practices and move from a limited assurance of ESG data to a reasonable assurance program of all ESG related topics. This shall give </w:t>
            </w:r>
            <w:r w:rsidR="001B6FC1">
              <w:rPr>
                <w:i w:val="0"/>
                <w:iCs/>
                <w:sz w:val="16"/>
                <w:lang w:val="en-GB"/>
              </w:rPr>
              <w:t>investor</w:t>
            </w:r>
            <w:r w:rsidR="001B6FC1" w:rsidRPr="007D7C41">
              <w:rPr>
                <w:i w:val="0"/>
                <w:iCs/>
                <w:sz w:val="16"/>
                <w:lang w:val="en-GB"/>
              </w:rPr>
              <w:t xml:space="preserve">s </w:t>
            </w:r>
            <w:r w:rsidRPr="007D7C41">
              <w:rPr>
                <w:i w:val="0"/>
                <w:iCs/>
                <w:sz w:val="16"/>
                <w:lang w:val="en-GB"/>
              </w:rPr>
              <w:t>more insights on the fund management and shall ensure good decision-</w:t>
            </w:r>
            <w:r w:rsidRPr="007D7C41">
              <w:rPr>
                <w:i w:val="0"/>
                <w:iCs/>
                <w:sz w:val="16"/>
                <w:lang w:val="en-GB"/>
              </w:rPr>
              <w:lastRenderedPageBreak/>
              <w:t>making, for which high-quality data*</w:t>
            </w:r>
            <w:r w:rsidRPr="00D02441">
              <w:footnoteReference w:id="2"/>
            </w:r>
            <w:r w:rsidRPr="007D7C41">
              <w:rPr>
                <w:i w:val="0"/>
                <w:iCs/>
                <w:sz w:val="16"/>
                <w:lang w:val="en-GB"/>
              </w:rPr>
              <w:t xml:space="preserve"> is needed. Smart buildings will help to facilitate (investment) decisions and lower resource consumption on building level. </w:t>
            </w:r>
          </w:p>
        </w:tc>
        <w:tc>
          <w:tcPr>
            <w:tcW w:w="948" w:type="pct"/>
          </w:tcPr>
          <w:p w14:paraId="6709630A" w14:textId="34D2AE50" w:rsidR="008A42F7" w:rsidRPr="0092008A" w:rsidRDefault="008A42F7" w:rsidP="00F52BE9">
            <w:pPr>
              <w:pStyle w:val="ListParagraph"/>
              <w:numPr>
                <w:ilvl w:val="0"/>
                <w:numId w:val="26"/>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D02441">
              <w:rPr>
                <w:i w:val="0"/>
                <w:iCs/>
                <w:sz w:val="16"/>
                <w:lang w:val="en-GB"/>
              </w:rPr>
              <w:lastRenderedPageBreak/>
              <w:t xml:space="preserve">100% of </w:t>
            </w:r>
            <w:r w:rsidR="002F683D" w:rsidRPr="00D02441">
              <w:rPr>
                <w:i w:val="0"/>
                <w:iCs/>
                <w:sz w:val="16"/>
                <w:lang w:val="en-GB"/>
              </w:rPr>
              <w:t>r</w:t>
            </w:r>
            <w:r w:rsidRPr="00D02441">
              <w:rPr>
                <w:i w:val="0"/>
                <w:iCs/>
                <w:sz w:val="16"/>
                <w:lang w:val="en-GB"/>
              </w:rPr>
              <w:t xml:space="preserve">eal </w:t>
            </w:r>
            <w:r w:rsidR="002F683D" w:rsidRPr="00D02441">
              <w:rPr>
                <w:i w:val="0"/>
                <w:iCs/>
                <w:sz w:val="16"/>
                <w:lang w:val="en-GB"/>
              </w:rPr>
              <w:t>e</w:t>
            </w:r>
            <w:r w:rsidRPr="00D02441">
              <w:rPr>
                <w:i w:val="0"/>
                <w:iCs/>
                <w:sz w:val="16"/>
                <w:lang w:val="en-GB"/>
              </w:rPr>
              <w:t xml:space="preserve">state </w:t>
            </w:r>
            <w:r w:rsidR="002F683D" w:rsidRPr="00D02441">
              <w:rPr>
                <w:i w:val="0"/>
                <w:iCs/>
                <w:sz w:val="16"/>
                <w:lang w:val="en-GB"/>
              </w:rPr>
              <w:t>a</w:t>
            </w:r>
            <w:r w:rsidRPr="00D02441">
              <w:rPr>
                <w:i w:val="0"/>
                <w:iCs/>
                <w:sz w:val="16"/>
                <w:lang w:val="en-GB"/>
              </w:rPr>
              <w:t xml:space="preserve">ssets </w:t>
            </w:r>
            <w:r>
              <w:rPr>
                <w:i w:val="0"/>
                <w:iCs/>
                <w:sz w:val="16"/>
                <w:lang w:val="en-GB"/>
              </w:rPr>
              <w:t>(based on market value)</w:t>
            </w:r>
            <w:r w:rsidRPr="00D02441">
              <w:rPr>
                <w:i w:val="0"/>
                <w:iCs/>
                <w:sz w:val="16"/>
                <w:lang w:val="en-GB"/>
              </w:rPr>
              <w:t xml:space="preserve"> connected to an intelligent</w:t>
            </w:r>
            <w:r w:rsidRPr="0092008A">
              <w:rPr>
                <w:i w:val="0"/>
                <w:iCs/>
                <w:sz w:val="16"/>
                <w:lang w:val="en-GB"/>
              </w:rPr>
              <w:t xml:space="preserve"> environmental management platform which collects real-time building level energy data from Building Management Systems (”</w:t>
            </w:r>
            <w:r w:rsidRPr="001B6FC1">
              <w:rPr>
                <w:b/>
                <w:bCs/>
                <w:i w:val="0"/>
                <w:iCs/>
                <w:sz w:val="16"/>
                <w:lang w:val="en-GB"/>
              </w:rPr>
              <w:t>BMS</w:t>
            </w:r>
            <w:r w:rsidRPr="0092008A">
              <w:rPr>
                <w:i w:val="0"/>
                <w:iCs/>
                <w:sz w:val="16"/>
                <w:lang w:val="en-GB"/>
              </w:rPr>
              <w:t>”) and Energy Management Systems (”</w:t>
            </w:r>
            <w:r w:rsidRPr="001B6FC1">
              <w:rPr>
                <w:b/>
                <w:bCs/>
                <w:i w:val="0"/>
                <w:iCs/>
                <w:sz w:val="16"/>
                <w:lang w:val="en-GB"/>
              </w:rPr>
              <w:t>EMS</w:t>
            </w:r>
            <w:r w:rsidRPr="0092008A">
              <w:rPr>
                <w:i w:val="0"/>
                <w:iCs/>
                <w:sz w:val="16"/>
                <w:lang w:val="en-GB"/>
              </w:rPr>
              <w:t>”)</w:t>
            </w:r>
            <w:r>
              <w:rPr>
                <w:i w:val="0"/>
                <w:iCs/>
                <w:sz w:val="16"/>
                <w:lang w:val="en-GB"/>
              </w:rPr>
              <w:t xml:space="preserve"> as described under the short term target </w:t>
            </w:r>
            <w:r w:rsidRPr="0092008A">
              <w:rPr>
                <w:i w:val="0"/>
                <w:iCs/>
                <w:sz w:val="16"/>
                <w:lang w:val="en-GB"/>
              </w:rPr>
              <w:t xml:space="preserve">as well </w:t>
            </w:r>
            <w:r>
              <w:rPr>
                <w:i w:val="0"/>
                <w:iCs/>
                <w:sz w:val="16"/>
                <w:lang w:val="en-GB"/>
              </w:rPr>
              <w:t xml:space="preserve">as </w:t>
            </w:r>
            <w:r w:rsidRPr="0092008A">
              <w:rPr>
                <w:i w:val="0"/>
                <w:iCs/>
                <w:sz w:val="16"/>
                <w:lang w:val="en-GB"/>
              </w:rPr>
              <w:t xml:space="preserve">data on water consumption, waste production, air quality and ambient noise and whose collected data </w:t>
            </w:r>
            <w:r w:rsidRPr="00D02441">
              <w:rPr>
                <w:i w:val="0"/>
                <w:iCs/>
                <w:sz w:val="16"/>
                <w:lang w:val="en-GB"/>
              </w:rPr>
              <w:t xml:space="preserve">will be fed into </w:t>
            </w:r>
            <w:r w:rsidRPr="0092008A">
              <w:rPr>
                <w:i w:val="0"/>
                <w:iCs/>
                <w:sz w:val="16"/>
                <w:lang w:val="en-GB"/>
              </w:rPr>
              <w:t xml:space="preserve">connected cross media </w:t>
            </w:r>
            <w:r w:rsidRPr="0092008A">
              <w:rPr>
                <w:i w:val="0"/>
                <w:iCs/>
                <w:sz w:val="16"/>
                <w:lang w:val="en-GB"/>
              </w:rPr>
              <w:lastRenderedPageBreak/>
              <w:t>platforms to display such data to relevant stakeholder groups (i.e. employees, tenants, investors and fund suppliers).</w:t>
            </w:r>
          </w:p>
          <w:p w14:paraId="6E29770F" w14:textId="74DEC96F" w:rsidR="008A42F7" w:rsidRPr="0092008A" w:rsidRDefault="008A42F7" w:rsidP="00F52BE9">
            <w:pPr>
              <w:pStyle w:val="ListParagraph"/>
              <w:numPr>
                <w:ilvl w:val="0"/>
                <w:numId w:val="26"/>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Pr>
                <w:i w:val="0"/>
                <w:iCs/>
                <w:sz w:val="16"/>
                <w:lang w:val="en-GB"/>
              </w:rPr>
              <w:t>Upgrading from a limited assurance report to a r</w:t>
            </w:r>
            <w:r w:rsidRPr="0092008A">
              <w:rPr>
                <w:i w:val="0"/>
                <w:iCs/>
                <w:sz w:val="16"/>
                <w:lang w:val="en-GB"/>
              </w:rPr>
              <w:t xml:space="preserve">easonable assurance </w:t>
            </w:r>
            <w:r>
              <w:rPr>
                <w:i w:val="0"/>
                <w:iCs/>
                <w:sz w:val="16"/>
                <w:lang w:val="en-GB"/>
              </w:rPr>
              <w:t xml:space="preserve">report for the ESG </w:t>
            </w:r>
            <w:r w:rsidRPr="0092008A">
              <w:rPr>
                <w:i w:val="0"/>
                <w:iCs/>
                <w:sz w:val="16"/>
                <w:lang w:val="en-GB"/>
              </w:rPr>
              <w:t>data</w:t>
            </w:r>
            <w:r>
              <w:rPr>
                <w:i w:val="0"/>
                <w:iCs/>
                <w:sz w:val="16"/>
                <w:lang w:val="en-GB"/>
              </w:rPr>
              <w:t xml:space="preserve"> </w:t>
            </w:r>
            <w:r w:rsidRPr="00D02441">
              <w:rPr>
                <w:i w:val="0"/>
                <w:iCs/>
                <w:sz w:val="16"/>
                <w:lang w:val="en-GB"/>
              </w:rPr>
              <w:t xml:space="preserve">by a third-party service provider and provision of such reasonable assurance report to </w:t>
            </w:r>
            <w:r w:rsidR="002F683D" w:rsidRPr="00D02441">
              <w:rPr>
                <w:i w:val="0"/>
                <w:iCs/>
                <w:sz w:val="16"/>
                <w:lang w:val="en-GB"/>
              </w:rPr>
              <w:t>i</w:t>
            </w:r>
            <w:r w:rsidRPr="00D02441">
              <w:rPr>
                <w:i w:val="0"/>
                <w:iCs/>
                <w:sz w:val="16"/>
                <w:lang w:val="en-GB"/>
              </w:rPr>
              <w:t>nvestors.</w:t>
            </w:r>
          </w:p>
        </w:tc>
        <w:tc>
          <w:tcPr>
            <w:tcW w:w="920" w:type="pct"/>
          </w:tcPr>
          <w:p w14:paraId="47C96107" w14:textId="01D9B30B" w:rsidR="008A42F7" w:rsidRPr="0092008A" w:rsidRDefault="008A42F7" w:rsidP="00F52BE9">
            <w:pPr>
              <w:pStyle w:val="ListParagraph"/>
              <w:numPr>
                <w:ilvl w:val="0"/>
                <w:numId w:val="27"/>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lastRenderedPageBreak/>
              <w:t xml:space="preserve">Percentage of </w:t>
            </w:r>
            <w:r w:rsidR="002F683D">
              <w:rPr>
                <w:i w:val="0"/>
                <w:iCs/>
                <w:sz w:val="16"/>
                <w:lang w:val="en-GB"/>
              </w:rPr>
              <w:t>r</w:t>
            </w:r>
            <w:r w:rsidRPr="0092008A">
              <w:rPr>
                <w:i w:val="0"/>
                <w:iCs/>
                <w:sz w:val="16"/>
                <w:lang w:val="en-GB"/>
              </w:rPr>
              <w:t xml:space="preserve">eal </w:t>
            </w:r>
            <w:r w:rsidR="002F683D">
              <w:rPr>
                <w:i w:val="0"/>
                <w:iCs/>
                <w:sz w:val="16"/>
                <w:lang w:val="en-GB"/>
              </w:rPr>
              <w:t>e</w:t>
            </w:r>
            <w:r w:rsidRPr="0092008A">
              <w:rPr>
                <w:i w:val="0"/>
                <w:iCs/>
                <w:sz w:val="16"/>
                <w:lang w:val="en-GB"/>
              </w:rPr>
              <w:t xml:space="preserve">state </w:t>
            </w:r>
            <w:r w:rsidR="002F683D">
              <w:rPr>
                <w:i w:val="0"/>
                <w:iCs/>
                <w:sz w:val="16"/>
                <w:lang w:val="en-GB"/>
              </w:rPr>
              <w:t>a</w:t>
            </w:r>
            <w:r w:rsidRPr="0092008A">
              <w:rPr>
                <w:i w:val="0"/>
                <w:iCs/>
                <w:sz w:val="16"/>
                <w:lang w:val="en-GB"/>
              </w:rPr>
              <w:t xml:space="preserve">ssets </w:t>
            </w:r>
            <w:r>
              <w:rPr>
                <w:i w:val="0"/>
                <w:iCs/>
                <w:sz w:val="16"/>
                <w:lang w:val="en-GB"/>
              </w:rPr>
              <w:t>(based on market value)</w:t>
            </w:r>
            <w:r w:rsidRPr="0092008A">
              <w:rPr>
                <w:i w:val="0"/>
                <w:iCs/>
                <w:sz w:val="16"/>
                <w:lang w:val="en-GB"/>
              </w:rPr>
              <w:t xml:space="preserve"> connected to the intelligent </w:t>
            </w:r>
            <w:r w:rsidRPr="00D02441">
              <w:rPr>
                <w:i w:val="0"/>
                <w:iCs/>
                <w:sz w:val="16"/>
                <w:lang w:val="en-GB"/>
              </w:rPr>
              <w:t>environmental management platform (as set out under long-term targets)</w:t>
            </w:r>
            <w:r w:rsidRPr="0092008A">
              <w:rPr>
                <w:i w:val="0"/>
                <w:iCs/>
                <w:sz w:val="16"/>
                <w:lang w:val="en-GB"/>
              </w:rPr>
              <w:t>.</w:t>
            </w:r>
          </w:p>
          <w:p w14:paraId="139C16A6" w14:textId="25773170" w:rsidR="008A42F7" w:rsidRPr="0092008A" w:rsidRDefault="008A42F7" w:rsidP="00F52BE9">
            <w:pPr>
              <w:pStyle w:val="ListParagraph"/>
              <w:numPr>
                <w:ilvl w:val="0"/>
                <w:numId w:val="27"/>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Existence of </w:t>
            </w:r>
            <w:r>
              <w:rPr>
                <w:i w:val="0"/>
                <w:iCs/>
                <w:sz w:val="16"/>
                <w:lang w:val="en-GB"/>
              </w:rPr>
              <w:t xml:space="preserve">a reasonable </w:t>
            </w:r>
            <w:r w:rsidRPr="0092008A">
              <w:rPr>
                <w:i w:val="0"/>
                <w:iCs/>
                <w:sz w:val="16"/>
                <w:lang w:val="en-GB"/>
              </w:rPr>
              <w:t>assurance report</w:t>
            </w:r>
            <w:r w:rsidRPr="00D02441">
              <w:rPr>
                <w:i w:val="0"/>
                <w:iCs/>
                <w:sz w:val="16"/>
                <w:lang w:val="en-GB"/>
              </w:rPr>
              <w:t xml:space="preserve"> for the ESG data by a third-party service provider and provision of such reasonable assurance report to </w:t>
            </w:r>
            <w:r w:rsidR="006839DE" w:rsidRPr="00D02441">
              <w:rPr>
                <w:i w:val="0"/>
                <w:iCs/>
                <w:sz w:val="16"/>
                <w:lang w:val="en-GB"/>
              </w:rPr>
              <w:t>i</w:t>
            </w:r>
            <w:r w:rsidRPr="00D02441">
              <w:rPr>
                <w:i w:val="0"/>
                <w:iCs/>
                <w:sz w:val="16"/>
                <w:lang w:val="en-GB"/>
              </w:rPr>
              <w:t>nvestors.</w:t>
            </w:r>
          </w:p>
        </w:tc>
        <w:tc>
          <w:tcPr>
            <w:tcW w:w="919" w:type="pct"/>
          </w:tcPr>
          <w:p w14:paraId="661D8E42" w14:textId="38AADC91" w:rsidR="008A42F7" w:rsidRPr="0092008A" w:rsidRDefault="008A42F7" w:rsidP="00F52BE9">
            <w:pPr>
              <w:pStyle w:val="ListParagraph"/>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EMS </w:t>
            </w:r>
            <w:r w:rsidRPr="00D02441">
              <w:rPr>
                <w:i w:val="0"/>
                <w:iCs/>
                <w:sz w:val="16"/>
                <w:lang w:val="en-GB"/>
              </w:rPr>
              <w:t>are</w:t>
            </w:r>
            <w:r w:rsidRPr="0092008A">
              <w:rPr>
                <w:i w:val="0"/>
                <w:iCs/>
                <w:sz w:val="16"/>
                <w:lang w:val="en-GB"/>
              </w:rPr>
              <w:t xml:space="preserve"> installed across 100% of existing </w:t>
            </w:r>
            <w:r w:rsidR="006839DE">
              <w:rPr>
                <w:i w:val="0"/>
                <w:iCs/>
                <w:sz w:val="16"/>
                <w:lang w:val="en-GB"/>
              </w:rPr>
              <w:t>r</w:t>
            </w:r>
            <w:r w:rsidRPr="0092008A">
              <w:rPr>
                <w:i w:val="0"/>
                <w:iCs/>
                <w:sz w:val="16"/>
                <w:lang w:val="en-GB"/>
              </w:rPr>
              <w:t xml:space="preserve">eal </w:t>
            </w:r>
            <w:r w:rsidR="006839DE">
              <w:rPr>
                <w:i w:val="0"/>
                <w:iCs/>
                <w:sz w:val="16"/>
                <w:lang w:val="en-GB"/>
              </w:rPr>
              <w:t>e</w:t>
            </w:r>
            <w:r w:rsidRPr="0092008A">
              <w:rPr>
                <w:i w:val="0"/>
                <w:iCs/>
                <w:sz w:val="16"/>
                <w:lang w:val="en-GB"/>
              </w:rPr>
              <w:t xml:space="preserve">state </w:t>
            </w:r>
            <w:r w:rsidR="006839DE">
              <w:rPr>
                <w:i w:val="0"/>
                <w:iCs/>
                <w:sz w:val="16"/>
                <w:lang w:val="en-GB"/>
              </w:rPr>
              <w:t>a</w:t>
            </w:r>
            <w:r w:rsidRPr="0092008A">
              <w:rPr>
                <w:i w:val="0"/>
                <w:iCs/>
                <w:sz w:val="16"/>
                <w:lang w:val="en-GB"/>
              </w:rPr>
              <w:t>ssets</w:t>
            </w:r>
            <w:r>
              <w:rPr>
                <w:i w:val="0"/>
                <w:iCs/>
                <w:sz w:val="16"/>
                <w:lang w:val="en-GB"/>
              </w:rPr>
              <w:t xml:space="preserve"> (based on market value)</w:t>
            </w:r>
            <w:r w:rsidRPr="0092008A">
              <w:rPr>
                <w:i w:val="0"/>
                <w:iCs/>
                <w:sz w:val="16"/>
                <w:lang w:val="en-GB"/>
              </w:rPr>
              <w:t>.</w:t>
            </w:r>
          </w:p>
          <w:p w14:paraId="16E75D69" w14:textId="77777777" w:rsidR="008A42F7" w:rsidRPr="00D02441" w:rsidRDefault="008A42F7" w:rsidP="00F52BE9">
            <w:pPr>
              <w:pStyle w:val="ListParagraph"/>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D02441">
              <w:rPr>
                <w:i w:val="0"/>
                <w:iCs/>
                <w:sz w:val="16"/>
                <w:lang w:val="en-GB"/>
              </w:rPr>
              <w:t>Display energy data to 50% of all tenant’s via tenant space screens.</w:t>
            </w:r>
          </w:p>
          <w:p w14:paraId="44F73A0B" w14:textId="0292DB12" w:rsidR="008A42F7" w:rsidRPr="0092008A" w:rsidRDefault="008A42F7" w:rsidP="00F52BE9">
            <w:pPr>
              <w:pStyle w:val="ListParagraph"/>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50% of </w:t>
            </w:r>
            <w:r w:rsidR="006839DE">
              <w:rPr>
                <w:i w:val="0"/>
                <w:iCs/>
                <w:sz w:val="16"/>
                <w:lang w:val="en-GB"/>
              </w:rPr>
              <w:t>r</w:t>
            </w:r>
            <w:r w:rsidRPr="0092008A">
              <w:rPr>
                <w:i w:val="0"/>
                <w:iCs/>
                <w:sz w:val="16"/>
                <w:lang w:val="en-GB"/>
              </w:rPr>
              <w:t xml:space="preserve">eal </w:t>
            </w:r>
            <w:r w:rsidR="006839DE">
              <w:rPr>
                <w:i w:val="0"/>
                <w:iCs/>
                <w:sz w:val="16"/>
                <w:lang w:val="en-GB"/>
              </w:rPr>
              <w:t>e</w:t>
            </w:r>
            <w:r w:rsidRPr="0092008A">
              <w:rPr>
                <w:i w:val="0"/>
                <w:iCs/>
                <w:sz w:val="16"/>
                <w:lang w:val="en-GB"/>
              </w:rPr>
              <w:t xml:space="preserve">state </w:t>
            </w:r>
            <w:r w:rsidR="006B130F">
              <w:rPr>
                <w:i w:val="0"/>
                <w:iCs/>
                <w:sz w:val="16"/>
                <w:lang w:val="en-GB"/>
              </w:rPr>
              <w:t>a</w:t>
            </w:r>
            <w:r w:rsidRPr="0092008A">
              <w:rPr>
                <w:i w:val="0"/>
                <w:iCs/>
                <w:sz w:val="16"/>
                <w:lang w:val="en-GB"/>
              </w:rPr>
              <w:t xml:space="preserve">ssets </w:t>
            </w:r>
            <w:r>
              <w:rPr>
                <w:i w:val="0"/>
                <w:iCs/>
                <w:sz w:val="16"/>
                <w:lang w:val="en-GB"/>
              </w:rPr>
              <w:t>(based on market value)</w:t>
            </w:r>
            <w:r w:rsidRPr="0092008A">
              <w:rPr>
                <w:i w:val="0"/>
                <w:iCs/>
                <w:sz w:val="16"/>
                <w:lang w:val="en-GB"/>
              </w:rPr>
              <w:t xml:space="preserve"> include meters according to the Genesta Metering Policy (e.g. to measure air quality and ambient noise).</w:t>
            </w:r>
          </w:p>
          <w:p w14:paraId="5B7A9AFA" w14:textId="72D86DC4" w:rsidR="008A42F7" w:rsidRPr="0092008A" w:rsidRDefault="008A42F7" w:rsidP="00F52BE9">
            <w:pPr>
              <w:pStyle w:val="ListParagraph"/>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Limited assurance of annual reported </w:t>
            </w:r>
            <w:r>
              <w:rPr>
                <w:i w:val="0"/>
                <w:iCs/>
                <w:sz w:val="16"/>
                <w:lang w:val="en-GB"/>
              </w:rPr>
              <w:t xml:space="preserve">ESG </w:t>
            </w:r>
            <w:r w:rsidRPr="0092008A">
              <w:rPr>
                <w:i w:val="0"/>
                <w:iCs/>
                <w:sz w:val="16"/>
                <w:lang w:val="en-GB"/>
              </w:rPr>
              <w:t xml:space="preserve">data prepared for 2022 to identify shortcomings which will be addressed within the next reporting cycle </w:t>
            </w:r>
            <w:r>
              <w:rPr>
                <w:i w:val="0"/>
                <w:iCs/>
                <w:sz w:val="16"/>
                <w:lang w:val="en-GB"/>
              </w:rPr>
              <w:lastRenderedPageBreak/>
              <w:t xml:space="preserve">and provision of limited </w:t>
            </w:r>
            <w:r w:rsidRPr="0092008A">
              <w:rPr>
                <w:i w:val="0"/>
                <w:iCs/>
                <w:sz w:val="16"/>
                <w:lang w:val="en-GB"/>
              </w:rPr>
              <w:t xml:space="preserve">assurance report </w:t>
            </w:r>
            <w:r>
              <w:rPr>
                <w:i w:val="0"/>
                <w:iCs/>
                <w:sz w:val="16"/>
                <w:lang w:val="en-GB"/>
              </w:rPr>
              <w:t xml:space="preserve">to </w:t>
            </w:r>
            <w:r w:rsidR="006B130F">
              <w:rPr>
                <w:i w:val="0"/>
                <w:iCs/>
                <w:sz w:val="16"/>
                <w:lang w:val="en-GB"/>
              </w:rPr>
              <w:t>i</w:t>
            </w:r>
            <w:r>
              <w:rPr>
                <w:i w:val="0"/>
                <w:iCs/>
                <w:sz w:val="16"/>
                <w:lang w:val="en-GB"/>
              </w:rPr>
              <w:t>nvestors.</w:t>
            </w:r>
          </w:p>
        </w:tc>
        <w:tc>
          <w:tcPr>
            <w:tcW w:w="890" w:type="pct"/>
          </w:tcPr>
          <w:p w14:paraId="099840A4" w14:textId="51BC0BFE" w:rsidR="008A42F7" w:rsidRPr="00D02441" w:rsidRDefault="008A42F7" w:rsidP="00F52BE9">
            <w:pPr>
              <w:pStyle w:val="ListParagraph"/>
              <w:numPr>
                <w:ilvl w:val="0"/>
                <w:numId w:val="25"/>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lastRenderedPageBreak/>
              <w:t xml:space="preserve">Percentage of existing </w:t>
            </w:r>
            <w:r w:rsidR="006B130F">
              <w:rPr>
                <w:i w:val="0"/>
                <w:iCs/>
                <w:sz w:val="16"/>
                <w:lang w:val="en-GB"/>
              </w:rPr>
              <w:t>r</w:t>
            </w:r>
            <w:r w:rsidRPr="0092008A">
              <w:rPr>
                <w:i w:val="0"/>
                <w:iCs/>
                <w:sz w:val="16"/>
                <w:lang w:val="en-GB"/>
              </w:rPr>
              <w:t xml:space="preserve">eal </w:t>
            </w:r>
            <w:r w:rsidR="006B130F">
              <w:rPr>
                <w:i w:val="0"/>
                <w:iCs/>
                <w:sz w:val="16"/>
                <w:lang w:val="en-GB"/>
              </w:rPr>
              <w:t>e</w:t>
            </w:r>
            <w:r w:rsidRPr="0092008A">
              <w:rPr>
                <w:i w:val="0"/>
                <w:iCs/>
                <w:sz w:val="16"/>
                <w:lang w:val="en-GB"/>
              </w:rPr>
              <w:t xml:space="preserve">state </w:t>
            </w:r>
            <w:r w:rsidR="006B130F">
              <w:rPr>
                <w:i w:val="0"/>
                <w:iCs/>
                <w:sz w:val="16"/>
                <w:lang w:val="en-GB"/>
              </w:rPr>
              <w:t>a</w:t>
            </w:r>
            <w:r w:rsidRPr="0092008A">
              <w:rPr>
                <w:i w:val="0"/>
                <w:iCs/>
                <w:sz w:val="16"/>
                <w:lang w:val="en-GB"/>
              </w:rPr>
              <w:t xml:space="preserve">ssets </w:t>
            </w:r>
            <w:r>
              <w:rPr>
                <w:i w:val="0"/>
                <w:iCs/>
                <w:sz w:val="16"/>
                <w:lang w:val="en-GB"/>
              </w:rPr>
              <w:t>(based on market value)</w:t>
            </w:r>
            <w:r w:rsidRPr="0092008A">
              <w:rPr>
                <w:i w:val="0"/>
                <w:iCs/>
                <w:sz w:val="16"/>
                <w:lang w:val="en-GB"/>
              </w:rPr>
              <w:t xml:space="preserve"> connected to </w:t>
            </w:r>
            <w:r w:rsidRPr="00D02441">
              <w:rPr>
                <w:i w:val="0"/>
                <w:iCs/>
                <w:sz w:val="16"/>
                <w:lang w:val="en-GB"/>
              </w:rPr>
              <w:t>EMS.</w:t>
            </w:r>
          </w:p>
          <w:p w14:paraId="30F4828F" w14:textId="77777777" w:rsidR="008A42F7" w:rsidRPr="0092008A" w:rsidRDefault="008A42F7" w:rsidP="00F52BE9">
            <w:pPr>
              <w:pStyle w:val="ListParagraph"/>
              <w:numPr>
                <w:ilvl w:val="0"/>
                <w:numId w:val="25"/>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D02441">
              <w:rPr>
                <w:i w:val="0"/>
                <w:iCs/>
                <w:sz w:val="16"/>
                <w:lang w:val="en-GB"/>
              </w:rPr>
              <w:t xml:space="preserve">Percentage of tenants that have access to the </w:t>
            </w:r>
            <w:r w:rsidRPr="0092008A">
              <w:rPr>
                <w:i w:val="0"/>
                <w:iCs/>
                <w:sz w:val="16"/>
                <w:lang w:val="en-GB"/>
              </w:rPr>
              <w:t xml:space="preserve">energy </w:t>
            </w:r>
            <w:r w:rsidRPr="00D02441">
              <w:rPr>
                <w:i w:val="0"/>
                <w:iCs/>
                <w:sz w:val="16"/>
                <w:lang w:val="en-GB"/>
              </w:rPr>
              <w:t>data of their property via tenant space screens.</w:t>
            </w:r>
          </w:p>
          <w:p w14:paraId="2F417D85" w14:textId="29DA2C29" w:rsidR="008A42F7" w:rsidRPr="0092008A" w:rsidRDefault="008A42F7" w:rsidP="00F52BE9">
            <w:pPr>
              <w:pStyle w:val="ListParagraph"/>
              <w:numPr>
                <w:ilvl w:val="0"/>
                <w:numId w:val="25"/>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Percentage of </w:t>
            </w:r>
            <w:r w:rsidR="00314D93">
              <w:rPr>
                <w:i w:val="0"/>
                <w:iCs/>
                <w:sz w:val="16"/>
                <w:lang w:val="en-GB"/>
              </w:rPr>
              <w:t>re</w:t>
            </w:r>
            <w:r w:rsidRPr="0092008A">
              <w:rPr>
                <w:i w:val="0"/>
                <w:iCs/>
                <w:sz w:val="16"/>
                <w:lang w:val="en-GB"/>
              </w:rPr>
              <w:t xml:space="preserve">al </w:t>
            </w:r>
            <w:r w:rsidR="00314D93">
              <w:rPr>
                <w:i w:val="0"/>
                <w:iCs/>
                <w:sz w:val="16"/>
                <w:lang w:val="en-GB"/>
              </w:rPr>
              <w:t>e</w:t>
            </w:r>
            <w:r w:rsidRPr="0092008A">
              <w:rPr>
                <w:i w:val="0"/>
                <w:iCs/>
                <w:sz w:val="16"/>
                <w:lang w:val="en-GB"/>
              </w:rPr>
              <w:t xml:space="preserve">state </w:t>
            </w:r>
            <w:r w:rsidR="00314D93">
              <w:rPr>
                <w:i w:val="0"/>
                <w:iCs/>
                <w:sz w:val="16"/>
                <w:lang w:val="en-GB"/>
              </w:rPr>
              <w:t>a</w:t>
            </w:r>
            <w:r w:rsidRPr="0092008A">
              <w:rPr>
                <w:i w:val="0"/>
                <w:iCs/>
                <w:sz w:val="16"/>
                <w:lang w:val="en-GB"/>
              </w:rPr>
              <w:t xml:space="preserve">ssets </w:t>
            </w:r>
            <w:r>
              <w:rPr>
                <w:i w:val="0"/>
                <w:iCs/>
                <w:sz w:val="16"/>
                <w:lang w:val="en-GB"/>
              </w:rPr>
              <w:t>(based on market value)</w:t>
            </w:r>
            <w:r w:rsidRPr="0092008A">
              <w:rPr>
                <w:i w:val="0"/>
                <w:iCs/>
                <w:sz w:val="16"/>
                <w:lang w:val="en-GB"/>
              </w:rPr>
              <w:t xml:space="preserve"> in which meters are installed according to the Genesta </w:t>
            </w:r>
            <w:r w:rsidRPr="00D02441">
              <w:rPr>
                <w:i w:val="0"/>
                <w:iCs/>
                <w:sz w:val="16"/>
                <w:lang w:val="en-GB"/>
              </w:rPr>
              <w:t>Metering Policy</w:t>
            </w:r>
            <w:r w:rsidRPr="0092008A">
              <w:rPr>
                <w:i w:val="0"/>
                <w:iCs/>
                <w:sz w:val="16"/>
                <w:lang w:val="en-GB"/>
              </w:rPr>
              <w:t xml:space="preserve">. </w:t>
            </w:r>
          </w:p>
          <w:p w14:paraId="7E791B6C" w14:textId="030ACCD0" w:rsidR="008A42F7" w:rsidRPr="0092008A" w:rsidRDefault="008A42F7" w:rsidP="00F52BE9">
            <w:pPr>
              <w:pStyle w:val="ListParagraph"/>
              <w:numPr>
                <w:ilvl w:val="0"/>
                <w:numId w:val="25"/>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Existence of a</w:t>
            </w:r>
            <w:r>
              <w:rPr>
                <w:i w:val="0"/>
                <w:iCs/>
                <w:sz w:val="16"/>
                <w:lang w:val="en-GB"/>
              </w:rPr>
              <w:t xml:space="preserve"> limited</w:t>
            </w:r>
            <w:r w:rsidRPr="0092008A">
              <w:rPr>
                <w:i w:val="0"/>
                <w:iCs/>
                <w:sz w:val="16"/>
                <w:lang w:val="en-GB"/>
              </w:rPr>
              <w:t xml:space="preserve"> assurance report </w:t>
            </w:r>
            <w:r>
              <w:rPr>
                <w:i w:val="0"/>
                <w:iCs/>
                <w:sz w:val="16"/>
                <w:lang w:val="en-GB"/>
              </w:rPr>
              <w:t xml:space="preserve">for the ESG data </w:t>
            </w:r>
            <w:r w:rsidRPr="0092008A">
              <w:rPr>
                <w:i w:val="0"/>
                <w:iCs/>
                <w:sz w:val="16"/>
                <w:lang w:val="en-GB"/>
              </w:rPr>
              <w:t>by a third-party service provider</w:t>
            </w:r>
            <w:r>
              <w:rPr>
                <w:i w:val="0"/>
                <w:iCs/>
                <w:sz w:val="16"/>
                <w:lang w:val="en-GB"/>
              </w:rPr>
              <w:t xml:space="preserve"> and provision of such limited assurance </w:t>
            </w:r>
            <w:r>
              <w:rPr>
                <w:i w:val="0"/>
                <w:iCs/>
                <w:sz w:val="16"/>
                <w:lang w:val="en-GB"/>
              </w:rPr>
              <w:lastRenderedPageBreak/>
              <w:t xml:space="preserve">report to </w:t>
            </w:r>
            <w:r w:rsidR="00314D93">
              <w:rPr>
                <w:i w:val="0"/>
                <w:iCs/>
                <w:sz w:val="16"/>
                <w:lang w:val="en-GB"/>
              </w:rPr>
              <w:t>i</w:t>
            </w:r>
            <w:r>
              <w:rPr>
                <w:i w:val="0"/>
                <w:iCs/>
                <w:sz w:val="16"/>
                <w:lang w:val="en-GB"/>
              </w:rPr>
              <w:t>nvestors</w:t>
            </w:r>
            <w:r w:rsidRPr="0092008A">
              <w:rPr>
                <w:i w:val="0"/>
                <w:iCs/>
                <w:sz w:val="16"/>
                <w:lang w:val="en-GB"/>
              </w:rPr>
              <w:t>.</w:t>
            </w:r>
          </w:p>
        </w:tc>
      </w:tr>
      <w:tr w:rsidR="00D02441" w:rsidRPr="00E86AE8" w14:paraId="79DB02FE" w14:textId="77777777" w:rsidTr="00D02441">
        <w:tblPrEx>
          <w:tblCellMar>
            <w:left w:w="108" w:type="dxa"/>
            <w:right w:w="108" w:type="dxa"/>
          </w:tblCellMar>
        </w:tblPrEx>
        <w:trPr>
          <w:trHeight w:val="425"/>
        </w:trPr>
        <w:tc>
          <w:tcPr>
            <w:cnfStyle w:val="001000000000" w:firstRow="0" w:lastRow="0" w:firstColumn="1" w:lastColumn="0" w:oddVBand="0" w:evenVBand="0" w:oddHBand="0" w:evenHBand="0" w:firstRowFirstColumn="0" w:firstRowLastColumn="0" w:lastRowFirstColumn="0" w:lastRowLastColumn="0"/>
            <w:tcW w:w="546" w:type="pct"/>
          </w:tcPr>
          <w:p w14:paraId="255AB8FD" w14:textId="77777777" w:rsidR="008A42F7" w:rsidRPr="0092008A" w:rsidRDefault="008A42F7" w:rsidP="00553B6C">
            <w:pPr>
              <w:rPr>
                <w:i w:val="0"/>
                <w:iCs/>
                <w:sz w:val="16"/>
                <w:lang w:val="en-GB"/>
              </w:rPr>
            </w:pPr>
            <w:r w:rsidRPr="0092008A">
              <w:rPr>
                <w:i w:val="0"/>
                <w:iCs/>
                <w:sz w:val="16"/>
                <w:lang w:val="en-GB"/>
              </w:rPr>
              <w:lastRenderedPageBreak/>
              <w:t>ESG risk management</w:t>
            </w:r>
          </w:p>
        </w:tc>
        <w:tc>
          <w:tcPr>
            <w:tcW w:w="777" w:type="pct"/>
          </w:tcPr>
          <w:p w14:paraId="24779695" w14:textId="77777777" w:rsidR="008A42F7" w:rsidRPr="0092008A"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As risk mitigation measures can only be taken for identified risks, a solid ESG risk management shall be implemented into all </w:t>
            </w:r>
            <w:r>
              <w:rPr>
                <w:i w:val="0"/>
                <w:iCs/>
                <w:sz w:val="16"/>
                <w:lang w:val="en-GB"/>
              </w:rPr>
              <w:t>f</w:t>
            </w:r>
            <w:r w:rsidRPr="0092008A">
              <w:rPr>
                <w:i w:val="0"/>
                <w:iCs/>
                <w:sz w:val="16"/>
                <w:lang w:val="en-GB"/>
              </w:rPr>
              <w:t>und management activities.</w:t>
            </w:r>
          </w:p>
        </w:tc>
        <w:tc>
          <w:tcPr>
            <w:tcW w:w="948" w:type="pct"/>
          </w:tcPr>
          <w:p w14:paraId="1AD88F59" w14:textId="77777777" w:rsidR="008A42F7" w:rsidRPr="0092008A"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Pr>
                <w:i w:val="0"/>
                <w:iCs/>
                <w:sz w:val="16"/>
                <w:lang w:val="en-GB"/>
              </w:rPr>
              <w:t xml:space="preserve">Annual update of integration of ESG risk management systems into Genesta’s risk management process and implementation of such holistic risk management process across all Fund related activities (from due diligence to divestment phase) and inclusion of identified </w:t>
            </w:r>
            <w:r w:rsidRPr="0092008A">
              <w:rPr>
                <w:i w:val="0"/>
                <w:iCs/>
                <w:sz w:val="16"/>
                <w:lang w:val="en-GB"/>
              </w:rPr>
              <w:t>risks and their mitigation measure</w:t>
            </w:r>
            <w:r>
              <w:rPr>
                <w:i w:val="0"/>
                <w:iCs/>
                <w:sz w:val="16"/>
                <w:lang w:val="en-GB"/>
              </w:rPr>
              <w:t xml:space="preserve"> as well as ratio of identified risks with mitigation measures over total amount of identified risks in Genesta’s risks management report</w:t>
            </w:r>
            <w:r w:rsidRPr="0092008A">
              <w:rPr>
                <w:i w:val="0"/>
                <w:iCs/>
                <w:sz w:val="16"/>
                <w:lang w:val="en-GB"/>
              </w:rPr>
              <w:t xml:space="preserve">. </w:t>
            </w:r>
          </w:p>
        </w:tc>
        <w:tc>
          <w:tcPr>
            <w:tcW w:w="920" w:type="pct"/>
          </w:tcPr>
          <w:p w14:paraId="01000C2C" w14:textId="77777777" w:rsidR="008A42F7" w:rsidRPr="0092008A"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Pr>
                <w:i w:val="0"/>
                <w:iCs/>
                <w:sz w:val="16"/>
                <w:lang w:val="en-GB"/>
              </w:rPr>
              <w:t xml:space="preserve">Update of integration of ESG risk management systems into Genesta’s risk management process and implementation of such holistic risk management process across all Fund related activities (from due diligence to divestment phase) and inclusion of identified </w:t>
            </w:r>
            <w:r w:rsidRPr="0092008A">
              <w:rPr>
                <w:i w:val="0"/>
                <w:iCs/>
                <w:sz w:val="16"/>
                <w:lang w:val="en-GB"/>
              </w:rPr>
              <w:t>risks and their mitigation measure</w:t>
            </w:r>
            <w:r>
              <w:rPr>
                <w:i w:val="0"/>
                <w:iCs/>
                <w:sz w:val="16"/>
                <w:lang w:val="en-GB"/>
              </w:rPr>
              <w:t xml:space="preserve"> as well as ratio of identified risks with mitigation measures over total amount of identified risks in Genesta’s risks management report</w:t>
            </w:r>
            <w:r w:rsidRPr="0092008A">
              <w:rPr>
                <w:i w:val="0"/>
                <w:iCs/>
                <w:sz w:val="16"/>
                <w:lang w:val="en-GB"/>
              </w:rPr>
              <w:t xml:space="preserve">. </w:t>
            </w:r>
          </w:p>
        </w:tc>
        <w:tc>
          <w:tcPr>
            <w:tcW w:w="919" w:type="pct"/>
          </w:tcPr>
          <w:p w14:paraId="79DFA85B" w14:textId="77777777" w:rsidR="008A42F7" w:rsidRPr="00160EEE" w:rsidRDefault="008A42F7" w:rsidP="00F52BE9">
            <w:pPr>
              <w:pStyle w:val="ListParagraph"/>
              <w:numPr>
                <w:ilvl w:val="0"/>
                <w:numId w:val="2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160EEE">
              <w:rPr>
                <w:i w:val="0"/>
                <w:iCs/>
                <w:sz w:val="16"/>
                <w:lang w:val="en-GB"/>
              </w:rPr>
              <w:t>Conduct an ESG materiality assessment</w:t>
            </w:r>
            <w:r w:rsidRPr="00160EEE">
              <w:rPr>
                <w:i w:val="0"/>
                <w:iCs/>
                <w:sz w:val="16"/>
                <w:szCs w:val="16"/>
                <w:lang w:val="en-GB"/>
              </w:rPr>
              <w:t xml:space="preserve"> across all Fund related activities </w:t>
            </w:r>
            <w:r w:rsidRPr="00160EEE">
              <w:rPr>
                <w:i w:val="0"/>
                <w:iCs/>
                <w:sz w:val="16"/>
                <w:lang w:val="en-GB"/>
              </w:rPr>
              <w:t xml:space="preserve">including the identification, likelihood and impact of risks </w:t>
            </w:r>
            <w:r w:rsidRPr="00160EEE">
              <w:rPr>
                <w:i w:val="0"/>
                <w:iCs/>
                <w:sz w:val="16"/>
                <w:szCs w:val="16"/>
                <w:lang w:val="en-GB"/>
              </w:rPr>
              <w:t>(from the due diligence through investment to divestment phase).</w:t>
            </w:r>
          </w:p>
          <w:p w14:paraId="144AA9FE" w14:textId="1C1561F2" w:rsidR="008A42F7" w:rsidRPr="00160EEE" w:rsidRDefault="008A42F7" w:rsidP="00F52BE9">
            <w:pPr>
              <w:pStyle w:val="ListParagraph"/>
              <w:numPr>
                <w:ilvl w:val="0"/>
                <w:numId w:val="2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160EEE">
              <w:rPr>
                <w:i w:val="0"/>
                <w:iCs/>
                <w:sz w:val="16"/>
                <w:lang w:val="en-GB"/>
              </w:rPr>
              <w:t>Assessment of material</w:t>
            </w:r>
            <w:r>
              <w:rPr>
                <w:i w:val="0"/>
                <w:iCs/>
                <w:sz w:val="16"/>
                <w:lang w:val="en-GB"/>
              </w:rPr>
              <w:t xml:space="preserve"> ESG</w:t>
            </w:r>
            <w:r w:rsidRPr="00160EEE">
              <w:rPr>
                <w:i w:val="0"/>
                <w:iCs/>
                <w:sz w:val="16"/>
                <w:lang w:val="en-GB"/>
              </w:rPr>
              <w:t xml:space="preserve"> risks </w:t>
            </w:r>
            <w:r w:rsidRPr="00160EEE">
              <w:rPr>
                <w:i w:val="0"/>
                <w:iCs/>
                <w:sz w:val="16"/>
                <w:szCs w:val="16"/>
                <w:lang w:val="en-GB"/>
              </w:rPr>
              <w:t>as well as</w:t>
            </w:r>
            <w:r w:rsidRPr="00160EEE">
              <w:rPr>
                <w:i w:val="0"/>
                <w:iCs/>
                <w:sz w:val="16"/>
                <w:lang w:val="en-GB"/>
              </w:rPr>
              <w:t xml:space="preserve"> identification, likelihood and impact of risks for 100% of </w:t>
            </w:r>
            <w:r w:rsidR="00AA0DFA">
              <w:rPr>
                <w:i w:val="0"/>
                <w:iCs/>
                <w:sz w:val="16"/>
                <w:lang w:val="en-GB"/>
              </w:rPr>
              <w:t>r</w:t>
            </w:r>
            <w:r w:rsidRPr="00160EEE">
              <w:rPr>
                <w:i w:val="0"/>
                <w:iCs/>
                <w:sz w:val="16"/>
                <w:lang w:val="en-GB"/>
              </w:rPr>
              <w:t xml:space="preserve">eal </w:t>
            </w:r>
            <w:r w:rsidR="00AA0DFA">
              <w:rPr>
                <w:i w:val="0"/>
                <w:iCs/>
                <w:sz w:val="16"/>
                <w:lang w:val="en-GB"/>
              </w:rPr>
              <w:t>e</w:t>
            </w:r>
            <w:r w:rsidRPr="00160EEE">
              <w:rPr>
                <w:i w:val="0"/>
                <w:iCs/>
                <w:sz w:val="16"/>
                <w:lang w:val="en-GB"/>
              </w:rPr>
              <w:t xml:space="preserve">state </w:t>
            </w:r>
            <w:r w:rsidR="00AA0DFA">
              <w:rPr>
                <w:i w:val="0"/>
                <w:iCs/>
                <w:sz w:val="16"/>
                <w:lang w:val="en-GB"/>
              </w:rPr>
              <w:t>a</w:t>
            </w:r>
            <w:r w:rsidRPr="00160EEE">
              <w:rPr>
                <w:i w:val="0"/>
                <w:iCs/>
                <w:sz w:val="16"/>
                <w:lang w:val="en-GB"/>
              </w:rPr>
              <w:t>ssets</w:t>
            </w:r>
            <w:r>
              <w:rPr>
                <w:i w:val="0"/>
                <w:iCs/>
                <w:sz w:val="16"/>
                <w:lang w:val="en-GB"/>
              </w:rPr>
              <w:t xml:space="preserve"> (based on market value)</w:t>
            </w:r>
            <w:r w:rsidRPr="00160EEE">
              <w:rPr>
                <w:i w:val="0"/>
                <w:iCs/>
                <w:sz w:val="16"/>
                <w:lang w:val="en-GB"/>
              </w:rPr>
              <w:t>.</w:t>
            </w:r>
          </w:p>
          <w:p w14:paraId="0F6828C1" w14:textId="77777777" w:rsidR="008A42F7" w:rsidRPr="00160EEE" w:rsidRDefault="008A42F7" w:rsidP="00F52BE9">
            <w:pPr>
              <w:pStyle w:val="ListParagraph"/>
              <w:numPr>
                <w:ilvl w:val="0"/>
                <w:numId w:val="2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160EEE">
              <w:rPr>
                <w:i w:val="0"/>
                <w:iCs/>
                <w:sz w:val="16"/>
                <w:lang w:val="en-GB"/>
              </w:rPr>
              <w:t>Identification of mitigation measures for 100% of identified</w:t>
            </w:r>
            <w:r>
              <w:rPr>
                <w:i w:val="0"/>
                <w:iCs/>
                <w:sz w:val="16"/>
                <w:lang w:val="en-GB"/>
              </w:rPr>
              <w:t xml:space="preserve"> ESG</w:t>
            </w:r>
            <w:r w:rsidRPr="00160EEE">
              <w:rPr>
                <w:i w:val="0"/>
                <w:iCs/>
                <w:sz w:val="16"/>
                <w:lang w:val="en-GB"/>
              </w:rPr>
              <w:t xml:space="preserve"> risks.</w:t>
            </w:r>
          </w:p>
          <w:p w14:paraId="29F01F6C" w14:textId="77777777" w:rsidR="008A42F7" w:rsidRPr="00160EEE" w:rsidRDefault="008A42F7" w:rsidP="00F52BE9">
            <w:pPr>
              <w:pStyle w:val="ListParagraph"/>
              <w:numPr>
                <w:ilvl w:val="0"/>
                <w:numId w:val="29"/>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160EEE">
              <w:rPr>
                <w:i w:val="0"/>
                <w:iCs/>
                <w:sz w:val="16"/>
                <w:lang w:val="en-GB"/>
              </w:rPr>
              <w:t xml:space="preserve">Implementation of a climate related risk management according to TCFD framework and </w:t>
            </w:r>
            <w:r w:rsidRPr="00160EEE">
              <w:rPr>
                <w:i w:val="0"/>
                <w:iCs/>
                <w:sz w:val="16"/>
                <w:lang w:val="en-GB"/>
              </w:rPr>
              <w:lastRenderedPageBreak/>
              <w:t>implementation of ESG risk management in alignment with ISO 31000 and TCFD.</w:t>
            </w:r>
          </w:p>
        </w:tc>
        <w:tc>
          <w:tcPr>
            <w:tcW w:w="890" w:type="pct"/>
          </w:tcPr>
          <w:p w14:paraId="7BF24B9F" w14:textId="77777777" w:rsidR="008A42F7" w:rsidRPr="007E2201" w:rsidRDefault="008A42F7" w:rsidP="00F52BE9">
            <w:pPr>
              <w:pStyle w:val="ListParagraph"/>
              <w:numPr>
                <w:ilvl w:val="0"/>
                <w:numId w:val="3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7E2201">
              <w:rPr>
                <w:i w:val="0"/>
                <w:iCs/>
                <w:sz w:val="16"/>
                <w:lang w:val="en-GB"/>
              </w:rPr>
              <w:lastRenderedPageBreak/>
              <w:t xml:space="preserve">Existence of an ESG materiality assessment across all Fund related activities including the identification, likelihood and impact of risks </w:t>
            </w:r>
            <w:r w:rsidRPr="007E2201">
              <w:rPr>
                <w:i w:val="0"/>
                <w:iCs/>
                <w:sz w:val="16"/>
                <w:szCs w:val="16"/>
                <w:lang w:val="en-GB"/>
              </w:rPr>
              <w:t>(from the due diligence through investment to divestment phase)</w:t>
            </w:r>
            <w:r w:rsidRPr="007E2201">
              <w:rPr>
                <w:i w:val="0"/>
                <w:iCs/>
                <w:sz w:val="16"/>
                <w:lang w:val="en-GB"/>
              </w:rPr>
              <w:t xml:space="preserve">. </w:t>
            </w:r>
          </w:p>
          <w:p w14:paraId="194C075A" w14:textId="268ED300" w:rsidR="008A42F7" w:rsidRPr="007E2201" w:rsidRDefault="008A42F7" w:rsidP="00F52BE9">
            <w:pPr>
              <w:pStyle w:val="ListParagraph"/>
              <w:numPr>
                <w:ilvl w:val="0"/>
                <w:numId w:val="3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7E2201">
              <w:rPr>
                <w:i w:val="0"/>
                <w:iCs/>
                <w:sz w:val="16"/>
                <w:lang w:val="en-GB"/>
              </w:rPr>
              <w:t xml:space="preserve">Percentage of </w:t>
            </w:r>
            <w:r w:rsidR="008D3E77">
              <w:rPr>
                <w:i w:val="0"/>
                <w:iCs/>
                <w:sz w:val="16"/>
                <w:lang w:val="en-GB"/>
              </w:rPr>
              <w:t>r</w:t>
            </w:r>
            <w:r w:rsidRPr="007E2201">
              <w:rPr>
                <w:i w:val="0"/>
                <w:iCs/>
                <w:sz w:val="16"/>
                <w:lang w:val="en-GB"/>
              </w:rPr>
              <w:t xml:space="preserve">eal </w:t>
            </w:r>
            <w:r w:rsidR="008D3E77">
              <w:rPr>
                <w:i w:val="0"/>
                <w:iCs/>
                <w:sz w:val="16"/>
                <w:lang w:val="en-GB"/>
              </w:rPr>
              <w:t>e</w:t>
            </w:r>
            <w:r w:rsidRPr="007E2201">
              <w:rPr>
                <w:i w:val="0"/>
                <w:iCs/>
                <w:sz w:val="16"/>
                <w:lang w:val="en-GB"/>
              </w:rPr>
              <w:t xml:space="preserve">state </w:t>
            </w:r>
            <w:r w:rsidR="008D3E77">
              <w:rPr>
                <w:i w:val="0"/>
                <w:iCs/>
                <w:sz w:val="16"/>
                <w:lang w:val="en-GB"/>
              </w:rPr>
              <w:t>a</w:t>
            </w:r>
            <w:r w:rsidRPr="007E2201">
              <w:rPr>
                <w:i w:val="0"/>
                <w:iCs/>
                <w:sz w:val="16"/>
                <w:lang w:val="en-GB"/>
              </w:rPr>
              <w:t xml:space="preserve">ssets </w:t>
            </w:r>
            <w:r>
              <w:rPr>
                <w:i w:val="0"/>
                <w:iCs/>
                <w:sz w:val="16"/>
                <w:lang w:val="en-GB"/>
              </w:rPr>
              <w:t>(based on market value)</w:t>
            </w:r>
            <w:r w:rsidRPr="007E2201">
              <w:rPr>
                <w:i w:val="0"/>
                <w:iCs/>
                <w:sz w:val="16"/>
                <w:lang w:val="en-GB"/>
              </w:rPr>
              <w:t xml:space="preserve"> for which an assessment of material </w:t>
            </w:r>
            <w:r>
              <w:rPr>
                <w:i w:val="0"/>
                <w:iCs/>
                <w:sz w:val="16"/>
                <w:lang w:val="en-GB"/>
              </w:rPr>
              <w:t xml:space="preserve">ESG </w:t>
            </w:r>
            <w:r w:rsidRPr="007E2201">
              <w:rPr>
                <w:i w:val="0"/>
                <w:iCs/>
                <w:sz w:val="16"/>
                <w:lang w:val="en-GB"/>
              </w:rPr>
              <w:t xml:space="preserve">risks </w:t>
            </w:r>
            <w:r w:rsidRPr="007E2201">
              <w:rPr>
                <w:i w:val="0"/>
                <w:iCs/>
                <w:sz w:val="16"/>
                <w:szCs w:val="16"/>
                <w:lang w:val="en-GB"/>
              </w:rPr>
              <w:t>as well as</w:t>
            </w:r>
            <w:r w:rsidRPr="007E2201">
              <w:rPr>
                <w:i w:val="0"/>
                <w:iCs/>
                <w:sz w:val="16"/>
                <w:lang w:val="en-GB"/>
              </w:rPr>
              <w:t xml:space="preserve"> identification, likelihood and impact of </w:t>
            </w:r>
            <w:r>
              <w:rPr>
                <w:i w:val="0"/>
                <w:iCs/>
                <w:sz w:val="16"/>
                <w:lang w:val="en-GB"/>
              </w:rPr>
              <w:t xml:space="preserve">ESG </w:t>
            </w:r>
            <w:r w:rsidRPr="007E2201">
              <w:rPr>
                <w:i w:val="0"/>
                <w:iCs/>
                <w:sz w:val="16"/>
                <w:lang w:val="en-GB"/>
              </w:rPr>
              <w:t>risks will be conducted</w:t>
            </w:r>
            <w:r>
              <w:rPr>
                <w:i w:val="0"/>
                <w:iCs/>
                <w:sz w:val="16"/>
                <w:lang w:val="en-GB"/>
              </w:rPr>
              <w:t>.</w:t>
            </w:r>
          </w:p>
          <w:p w14:paraId="14C2D373" w14:textId="77777777" w:rsidR="008A42F7" w:rsidRPr="007E2201" w:rsidRDefault="008A42F7" w:rsidP="00F52BE9">
            <w:pPr>
              <w:pStyle w:val="ListParagraph"/>
              <w:numPr>
                <w:ilvl w:val="0"/>
                <w:numId w:val="3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7E2201">
              <w:rPr>
                <w:i w:val="0"/>
                <w:iCs/>
                <w:sz w:val="16"/>
                <w:lang w:val="en-GB"/>
              </w:rPr>
              <w:t xml:space="preserve">Ratio of identified risks that have identified mitigation measures over the total amount of </w:t>
            </w:r>
            <w:r w:rsidRPr="007E2201">
              <w:rPr>
                <w:i w:val="0"/>
                <w:iCs/>
                <w:sz w:val="16"/>
                <w:lang w:val="en-GB"/>
              </w:rPr>
              <w:lastRenderedPageBreak/>
              <w:t>identified risks.</w:t>
            </w:r>
          </w:p>
          <w:p w14:paraId="1136AEC2" w14:textId="77777777" w:rsidR="008A42F7" w:rsidRPr="007E2201" w:rsidRDefault="008A42F7" w:rsidP="00F52BE9">
            <w:pPr>
              <w:pStyle w:val="ListParagraph"/>
              <w:numPr>
                <w:ilvl w:val="0"/>
                <w:numId w:val="30"/>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7E2201">
              <w:rPr>
                <w:i w:val="0"/>
                <w:iCs/>
                <w:sz w:val="16"/>
                <w:lang w:val="en-GB"/>
              </w:rPr>
              <w:t>Implementation of two risk management streams (TCFD &amp; ISO).</w:t>
            </w:r>
          </w:p>
        </w:tc>
      </w:tr>
      <w:tr w:rsidR="00D02441" w:rsidRPr="00E86AE8" w14:paraId="55C876C2" w14:textId="77777777" w:rsidTr="00D02441">
        <w:tblPrEx>
          <w:tblCellMar>
            <w:left w:w="108" w:type="dxa"/>
            <w:right w:w="108" w:type="dxa"/>
          </w:tblCellMar>
        </w:tblPrEx>
        <w:trPr>
          <w:trHeight w:val="425"/>
        </w:trPr>
        <w:tc>
          <w:tcPr>
            <w:cnfStyle w:val="001000000000" w:firstRow="0" w:lastRow="0" w:firstColumn="1" w:lastColumn="0" w:oddVBand="0" w:evenVBand="0" w:oddHBand="0" w:evenHBand="0" w:firstRowFirstColumn="0" w:firstRowLastColumn="0" w:lastRowFirstColumn="0" w:lastRowLastColumn="0"/>
            <w:tcW w:w="546" w:type="pct"/>
          </w:tcPr>
          <w:p w14:paraId="620EC527" w14:textId="77777777" w:rsidR="008A42F7" w:rsidRPr="0092008A" w:rsidRDefault="008A42F7" w:rsidP="00553B6C">
            <w:pPr>
              <w:rPr>
                <w:i w:val="0"/>
                <w:iCs/>
                <w:sz w:val="16"/>
                <w:lang w:val="en-GB"/>
              </w:rPr>
            </w:pPr>
            <w:r w:rsidRPr="0092008A">
              <w:rPr>
                <w:i w:val="0"/>
                <w:iCs/>
                <w:sz w:val="16"/>
                <w:lang w:val="en-GB"/>
              </w:rPr>
              <w:lastRenderedPageBreak/>
              <w:t>Transparency and communication</w:t>
            </w:r>
          </w:p>
        </w:tc>
        <w:tc>
          <w:tcPr>
            <w:tcW w:w="777" w:type="pct"/>
          </w:tcPr>
          <w:p w14:paraId="6BAE652C" w14:textId="6D9650D5" w:rsidR="008A42F7" w:rsidRPr="0092008A"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Reporting and certifications are the main components of a reliable and transparent ESG communication to </w:t>
            </w:r>
            <w:r w:rsidR="00890929">
              <w:rPr>
                <w:i w:val="0"/>
                <w:iCs/>
                <w:sz w:val="16"/>
                <w:lang w:val="en-GB"/>
              </w:rPr>
              <w:t>i</w:t>
            </w:r>
            <w:r>
              <w:rPr>
                <w:i w:val="0"/>
                <w:iCs/>
                <w:sz w:val="16"/>
                <w:lang w:val="en-GB"/>
              </w:rPr>
              <w:t>nvestor</w:t>
            </w:r>
            <w:r w:rsidRPr="0092008A">
              <w:rPr>
                <w:i w:val="0"/>
                <w:iCs/>
                <w:sz w:val="16"/>
                <w:lang w:val="en-GB"/>
              </w:rPr>
              <w:t>s, government authorities and other stakeholders. Independent third parties like certifiers and/or auditors shall provide additional credibility.</w:t>
            </w:r>
          </w:p>
        </w:tc>
        <w:tc>
          <w:tcPr>
            <w:tcW w:w="948" w:type="pct"/>
          </w:tcPr>
          <w:p w14:paraId="1C6C3A6E" w14:textId="77777777" w:rsidR="008A42F7" w:rsidRPr="0092008A" w:rsidRDefault="008A42F7" w:rsidP="00F52BE9">
            <w:pPr>
              <w:pStyle w:val="ListParagraph"/>
              <w:numPr>
                <w:ilvl w:val="0"/>
                <w:numId w:val="31"/>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Annual GRESB submissions, obtaining a 5-Star rating.</w:t>
            </w:r>
          </w:p>
          <w:p w14:paraId="7F0A41BC" w14:textId="77777777" w:rsidR="008A42F7" w:rsidRPr="0092008A" w:rsidRDefault="008A42F7" w:rsidP="00F52BE9">
            <w:pPr>
              <w:pStyle w:val="ListParagraph"/>
              <w:numPr>
                <w:ilvl w:val="0"/>
                <w:numId w:val="31"/>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Publication of the annual ESG Report and </w:t>
            </w:r>
            <w:r w:rsidRPr="0092008A">
              <w:rPr>
                <w:bCs/>
                <w:i w:val="0"/>
                <w:iCs/>
                <w:sz w:val="16"/>
                <w:lang w:val="en-GB"/>
              </w:rPr>
              <w:t>UN PRI</w:t>
            </w:r>
            <w:r w:rsidRPr="0092008A">
              <w:rPr>
                <w:i w:val="0"/>
                <w:iCs/>
                <w:sz w:val="16"/>
                <w:lang w:val="en-GB"/>
              </w:rPr>
              <w:t xml:space="preserve"> report including third party assured data</w:t>
            </w:r>
            <w:r>
              <w:rPr>
                <w:i w:val="0"/>
                <w:iCs/>
                <w:sz w:val="16"/>
                <w:lang w:val="en-GB"/>
              </w:rPr>
              <w:t>, including the percentage of reduction in total and specific energy consumption and CO2 emissions, as well as the produced amount and ratio of renewable energy</w:t>
            </w:r>
            <w:r w:rsidRPr="0092008A">
              <w:rPr>
                <w:i w:val="0"/>
                <w:iCs/>
                <w:sz w:val="16"/>
                <w:lang w:val="en-GB"/>
              </w:rPr>
              <w:t xml:space="preserve"> and information on TCFD</w:t>
            </w:r>
            <w:r>
              <w:rPr>
                <w:i w:val="0"/>
                <w:iCs/>
                <w:sz w:val="16"/>
                <w:lang w:val="en-GB"/>
              </w:rPr>
              <w:t>.</w:t>
            </w:r>
          </w:p>
          <w:p w14:paraId="4788B6D8" w14:textId="34277E13" w:rsidR="008A42F7" w:rsidRPr="0092008A" w:rsidRDefault="008A42F7" w:rsidP="00F52BE9">
            <w:pPr>
              <w:pStyle w:val="ListParagraph"/>
              <w:numPr>
                <w:ilvl w:val="0"/>
                <w:numId w:val="31"/>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E86AE8">
              <w:rPr>
                <w:i w:val="0"/>
                <w:iCs/>
                <w:sz w:val="16"/>
                <w:szCs w:val="16"/>
                <w:lang w:val="en-US"/>
              </w:rPr>
              <w:t xml:space="preserve">Providing </w:t>
            </w:r>
            <w:r w:rsidRPr="0092008A">
              <w:rPr>
                <w:i w:val="0"/>
                <w:iCs/>
                <w:sz w:val="16"/>
                <w:szCs w:val="16"/>
                <w:lang w:val="en-GB"/>
              </w:rPr>
              <w:t>ESG integrated quarterly</w:t>
            </w:r>
            <w:r w:rsidRPr="0092008A">
              <w:rPr>
                <w:i w:val="0"/>
                <w:iCs/>
                <w:sz w:val="16"/>
                <w:lang w:val="en-GB"/>
              </w:rPr>
              <w:t xml:space="preserve"> reporting to </w:t>
            </w:r>
            <w:r w:rsidR="003C4C0C">
              <w:rPr>
                <w:i w:val="0"/>
                <w:iCs/>
                <w:sz w:val="16"/>
                <w:lang w:val="en-GB"/>
              </w:rPr>
              <w:t>i</w:t>
            </w:r>
            <w:r w:rsidRPr="0092008A">
              <w:rPr>
                <w:i w:val="0"/>
                <w:iCs/>
                <w:sz w:val="16"/>
                <w:lang w:val="en-GB"/>
              </w:rPr>
              <w:t>nvestors.</w:t>
            </w:r>
          </w:p>
          <w:p w14:paraId="62DB4586" w14:textId="4763C6FD" w:rsidR="008A42F7" w:rsidRPr="0092008A" w:rsidRDefault="008A42F7" w:rsidP="00F52BE9">
            <w:pPr>
              <w:pStyle w:val="ListParagraph"/>
              <w:numPr>
                <w:ilvl w:val="0"/>
                <w:numId w:val="31"/>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100% of </w:t>
            </w:r>
            <w:r w:rsidR="003C4C0C">
              <w:rPr>
                <w:i w:val="0"/>
                <w:iCs/>
                <w:sz w:val="16"/>
                <w:lang w:val="en-GB"/>
              </w:rPr>
              <w:t>r</w:t>
            </w:r>
            <w:r w:rsidRPr="0092008A">
              <w:rPr>
                <w:i w:val="0"/>
                <w:iCs/>
                <w:sz w:val="16"/>
                <w:lang w:val="en-GB"/>
              </w:rPr>
              <w:t xml:space="preserve">eal </w:t>
            </w:r>
            <w:r w:rsidR="003C4C0C">
              <w:rPr>
                <w:i w:val="0"/>
                <w:iCs/>
                <w:sz w:val="16"/>
                <w:lang w:val="en-GB"/>
              </w:rPr>
              <w:t>e</w:t>
            </w:r>
            <w:r w:rsidRPr="0092008A">
              <w:rPr>
                <w:i w:val="0"/>
                <w:iCs/>
                <w:sz w:val="16"/>
                <w:lang w:val="en-GB"/>
              </w:rPr>
              <w:t xml:space="preserve">state </w:t>
            </w:r>
            <w:r w:rsidR="003C4C0C">
              <w:rPr>
                <w:i w:val="0"/>
                <w:iCs/>
                <w:sz w:val="16"/>
                <w:lang w:val="en-GB"/>
              </w:rPr>
              <w:t>a</w:t>
            </w:r>
            <w:r w:rsidRPr="0092008A">
              <w:rPr>
                <w:i w:val="0"/>
                <w:iCs/>
                <w:sz w:val="16"/>
                <w:lang w:val="en-GB"/>
              </w:rPr>
              <w:t>ssets</w:t>
            </w:r>
            <w:r>
              <w:rPr>
                <w:i w:val="0"/>
                <w:iCs/>
                <w:sz w:val="16"/>
                <w:lang w:val="en-GB"/>
              </w:rPr>
              <w:t xml:space="preserve"> (based on market value)</w:t>
            </w:r>
            <w:r w:rsidRPr="0092008A">
              <w:rPr>
                <w:i w:val="0"/>
                <w:iCs/>
                <w:sz w:val="16"/>
                <w:lang w:val="en-GB"/>
              </w:rPr>
              <w:t xml:space="preserve"> shall be at least certified as ”very good” by </w:t>
            </w:r>
            <w:r w:rsidRPr="0092008A">
              <w:rPr>
                <w:i w:val="0"/>
                <w:iCs/>
                <w:sz w:val="16"/>
                <w:szCs w:val="16"/>
                <w:lang w:val="en-GB"/>
              </w:rPr>
              <w:t>BREEAM</w:t>
            </w:r>
            <w:r w:rsidRPr="0092008A">
              <w:rPr>
                <w:i w:val="0"/>
                <w:iCs/>
                <w:sz w:val="16"/>
                <w:lang w:val="en-GB"/>
              </w:rPr>
              <w:t>.</w:t>
            </w:r>
          </w:p>
        </w:tc>
        <w:tc>
          <w:tcPr>
            <w:tcW w:w="920" w:type="pct"/>
          </w:tcPr>
          <w:p w14:paraId="11070358" w14:textId="77777777" w:rsidR="008A42F7" w:rsidRPr="0092008A" w:rsidRDefault="008A42F7" w:rsidP="00F52BE9">
            <w:pPr>
              <w:pStyle w:val="ListParagraph"/>
              <w:numPr>
                <w:ilvl w:val="0"/>
                <w:numId w:val="32"/>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GRESB Score: 5-Star rating</w:t>
            </w:r>
            <w:r>
              <w:rPr>
                <w:i w:val="0"/>
                <w:iCs/>
                <w:sz w:val="16"/>
                <w:lang w:val="en-GB"/>
              </w:rPr>
              <w:t>.</w:t>
            </w:r>
          </w:p>
          <w:p w14:paraId="5517FC64" w14:textId="77777777" w:rsidR="008A42F7" w:rsidRPr="0092008A" w:rsidRDefault="008A42F7" w:rsidP="00F52BE9">
            <w:pPr>
              <w:pStyle w:val="ListParagraph"/>
              <w:numPr>
                <w:ilvl w:val="0"/>
                <w:numId w:val="32"/>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UN PRI &amp; annual ESG report &amp; TCFD report</w:t>
            </w:r>
            <w:r w:rsidRPr="0092008A">
              <w:rPr>
                <w:i w:val="0"/>
                <w:iCs/>
                <w:sz w:val="16"/>
                <w:szCs w:val="16"/>
                <w:lang w:val="en-GB"/>
              </w:rPr>
              <w:t xml:space="preserve"> including data</w:t>
            </w:r>
            <w:r w:rsidRPr="0092008A">
              <w:rPr>
                <w:i w:val="0"/>
                <w:iCs/>
                <w:sz w:val="16"/>
                <w:lang w:val="en-GB"/>
              </w:rPr>
              <w:t xml:space="preserve"> assurance and auditing.</w:t>
            </w:r>
          </w:p>
          <w:p w14:paraId="143A75BA" w14:textId="77777777" w:rsidR="008A42F7" w:rsidRPr="0092008A" w:rsidRDefault="008A42F7" w:rsidP="00F52BE9">
            <w:pPr>
              <w:pStyle w:val="ListParagraph"/>
              <w:numPr>
                <w:ilvl w:val="0"/>
                <w:numId w:val="32"/>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ESG integrated quarterly report.</w:t>
            </w:r>
          </w:p>
          <w:p w14:paraId="21C31B8B" w14:textId="77777777" w:rsidR="008A42F7" w:rsidRPr="0092008A" w:rsidRDefault="008A42F7" w:rsidP="00F52BE9">
            <w:pPr>
              <w:pStyle w:val="ListParagraph"/>
              <w:numPr>
                <w:ilvl w:val="0"/>
                <w:numId w:val="32"/>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Percentage of buildings having a BREEAM rating of ”very good” or higher.</w:t>
            </w:r>
          </w:p>
        </w:tc>
        <w:tc>
          <w:tcPr>
            <w:tcW w:w="919" w:type="pct"/>
          </w:tcPr>
          <w:p w14:paraId="55045519" w14:textId="77777777" w:rsidR="008A42F7" w:rsidRPr="0092008A" w:rsidRDefault="008A42F7" w:rsidP="00F52BE9">
            <w:pPr>
              <w:pStyle w:val="ListParagraph"/>
              <w:numPr>
                <w:ilvl w:val="0"/>
                <w:numId w:val="33"/>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First GRESB &amp; UN PRI submission.</w:t>
            </w:r>
          </w:p>
          <w:p w14:paraId="2241835D" w14:textId="6B11DED7" w:rsidR="008A42F7" w:rsidRPr="0092008A" w:rsidRDefault="008A42F7" w:rsidP="00F52BE9">
            <w:pPr>
              <w:pStyle w:val="ListParagraph"/>
              <w:numPr>
                <w:ilvl w:val="0"/>
                <w:numId w:val="33"/>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For </w:t>
            </w:r>
            <w:r>
              <w:rPr>
                <w:rFonts w:cs="Calibri"/>
                <w:i w:val="0"/>
                <w:iCs/>
                <w:sz w:val="16"/>
                <w:lang w:val="en-GB"/>
              </w:rPr>
              <w:t>100%</w:t>
            </w:r>
            <w:r w:rsidRPr="0092008A">
              <w:rPr>
                <w:i w:val="0"/>
                <w:iCs/>
                <w:sz w:val="16"/>
                <w:lang w:val="en-GB"/>
              </w:rPr>
              <w:t xml:space="preserve"> of </w:t>
            </w:r>
            <w:r w:rsidR="00775713">
              <w:rPr>
                <w:i w:val="0"/>
                <w:iCs/>
                <w:sz w:val="16"/>
                <w:lang w:val="en-GB"/>
              </w:rPr>
              <w:t>r</w:t>
            </w:r>
            <w:r w:rsidRPr="0092008A">
              <w:rPr>
                <w:i w:val="0"/>
                <w:iCs/>
                <w:sz w:val="16"/>
                <w:lang w:val="en-GB"/>
              </w:rPr>
              <w:t xml:space="preserve">eal </w:t>
            </w:r>
            <w:r w:rsidR="00775713">
              <w:rPr>
                <w:i w:val="0"/>
                <w:iCs/>
                <w:sz w:val="16"/>
                <w:lang w:val="en-GB"/>
              </w:rPr>
              <w:t>e</w:t>
            </w:r>
            <w:r w:rsidRPr="0092008A">
              <w:rPr>
                <w:i w:val="0"/>
                <w:iCs/>
                <w:sz w:val="16"/>
                <w:lang w:val="en-GB"/>
              </w:rPr>
              <w:t xml:space="preserve">state </w:t>
            </w:r>
            <w:r w:rsidR="00775713">
              <w:rPr>
                <w:i w:val="0"/>
                <w:iCs/>
                <w:sz w:val="16"/>
                <w:lang w:val="en-GB"/>
              </w:rPr>
              <w:t>a</w:t>
            </w:r>
            <w:r w:rsidRPr="0092008A">
              <w:rPr>
                <w:i w:val="0"/>
                <w:iCs/>
                <w:sz w:val="16"/>
                <w:lang w:val="en-GB"/>
              </w:rPr>
              <w:t xml:space="preserve">ssets </w:t>
            </w:r>
            <w:r>
              <w:rPr>
                <w:i w:val="0"/>
                <w:iCs/>
                <w:sz w:val="16"/>
                <w:lang w:val="en-GB"/>
              </w:rPr>
              <w:t>(based on market value)</w:t>
            </w:r>
            <w:r w:rsidRPr="0092008A">
              <w:rPr>
                <w:i w:val="0"/>
                <w:iCs/>
                <w:sz w:val="16"/>
                <w:lang w:val="en-GB"/>
              </w:rPr>
              <w:t xml:space="preserve"> a BREEAM study has been conducted within </w:t>
            </w:r>
            <w:r>
              <w:rPr>
                <w:i w:val="0"/>
                <w:iCs/>
                <w:sz w:val="16"/>
                <w:lang w:val="en-GB"/>
              </w:rPr>
              <w:t>4</w:t>
            </w:r>
            <w:r w:rsidRPr="0092008A">
              <w:rPr>
                <w:i w:val="0"/>
                <w:iCs/>
                <w:sz w:val="16"/>
                <w:lang w:val="en-GB"/>
              </w:rPr>
              <w:t xml:space="preserve"> months of ownership.</w:t>
            </w:r>
          </w:p>
        </w:tc>
        <w:tc>
          <w:tcPr>
            <w:tcW w:w="890" w:type="pct"/>
          </w:tcPr>
          <w:p w14:paraId="4659541C" w14:textId="77777777" w:rsidR="008A42F7" w:rsidRPr="0092008A" w:rsidRDefault="008A42F7" w:rsidP="00F52BE9">
            <w:pPr>
              <w:pStyle w:val="ListParagraph"/>
              <w:numPr>
                <w:ilvl w:val="0"/>
                <w:numId w:val="3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First submission in 2023 – GRESB &amp; UN PRI Score</w:t>
            </w:r>
            <w:r>
              <w:rPr>
                <w:i w:val="0"/>
                <w:iCs/>
                <w:sz w:val="16"/>
                <w:lang w:val="en-GB"/>
              </w:rPr>
              <w:t>.</w:t>
            </w:r>
          </w:p>
          <w:p w14:paraId="6BFCA164" w14:textId="6D46823F" w:rsidR="008A42F7" w:rsidRPr="0092008A" w:rsidRDefault="008A42F7" w:rsidP="00F52BE9">
            <w:pPr>
              <w:pStyle w:val="ListParagraph"/>
              <w:numPr>
                <w:ilvl w:val="0"/>
                <w:numId w:val="34"/>
              </w:numPr>
              <w:spacing w:before="60"/>
              <w:contextualSpacing/>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 xml:space="preserve">Percentage of </w:t>
            </w:r>
            <w:r w:rsidR="007C3DE4">
              <w:rPr>
                <w:i w:val="0"/>
                <w:iCs/>
                <w:sz w:val="16"/>
                <w:lang w:val="en-GB"/>
              </w:rPr>
              <w:t>r</w:t>
            </w:r>
            <w:r w:rsidRPr="0092008A">
              <w:rPr>
                <w:i w:val="0"/>
                <w:iCs/>
                <w:sz w:val="16"/>
                <w:lang w:val="en-GB"/>
              </w:rPr>
              <w:t xml:space="preserve">eal </w:t>
            </w:r>
            <w:r w:rsidR="007C3DE4">
              <w:rPr>
                <w:i w:val="0"/>
                <w:iCs/>
                <w:sz w:val="16"/>
                <w:lang w:val="en-GB"/>
              </w:rPr>
              <w:t>e</w:t>
            </w:r>
            <w:r w:rsidRPr="0092008A">
              <w:rPr>
                <w:i w:val="0"/>
                <w:iCs/>
                <w:sz w:val="16"/>
                <w:lang w:val="en-GB"/>
              </w:rPr>
              <w:t xml:space="preserve">state </w:t>
            </w:r>
            <w:r w:rsidR="001B6FC1">
              <w:rPr>
                <w:i w:val="0"/>
                <w:iCs/>
                <w:sz w:val="16"/>
                <w:lang w:val="en-GB"/>
              </w:rPr>
              <w:t>a</w:t>
            </w:r>
            <w:r w:rsidRPr="0092008A">
              <w:rPr>
                <w:i w:val="0"/>
                <w:iCs/>
                <w:sz w:val="16"/>
                <w:lang w:val="en-GB"/>
              </w:rPr>
              <w:t xml:space="preserve">ssets </w:t>
            </w:r>
            <w:r>
              <w:rPr>
                <w:i w:val="0"/>
                <w:iCs/>
                <w:sz w:val="16"/>
                <w:lang w:val="en-GB"/>
              </w:rPr>
              <w:t>(based on market value)</w:t>
            </w:r>
            <w:r w:rsidRPr="0092008A">
              <w:rPr>
                <w:i w:val="0"/>
                <w:iCs/>
                <w:sz w:val="16"/>
                <w:lang w:val="en-GB"/>
              </w:rPr>
              <w:t xml:space="preserve"> for which with a BRREAM study has been conducted within 6 months of ownership.</w:t>
            </w:r>
          </w:p>
        </w:tc>
      </w:tr>
      <w:tr w:rsidR="00D02441" w:rsidRPr="00E86AE8" w14:paraId="50A41648" w14:textId="77777777" w:rsidTr="00D02441">
        <w:tblPrEx>
          <w:tblCellMar>
            <w:left w:w="108" w:type="dxa"/>
            <w:right w:w="108" w:type="dxa"/>
          </w:tblCellMar>
        </w:tblPrEx>
        <w:trPr>
          <w:trHeight w:val="1050"/>
        </w:trPr>
        <w:tc>
          <w:tcPr>
            <w:cnfStyle w:val="001000000000" w:firstRow="0" w:lastRow="0" w:firstColumn="1" w:lastColumn="0" w:oddVBand="0" w:evenVBand="0" w:oddHBand="0" w:evenHBand="0" w:firstRowFirstColumn="0" w:firstRowLastColumn="0" w:lastRowFirstColumn="0" w:lastRowLastColumn="0"/>
            <w:tcW w:w="546" w:type="pct"/>
          </w:tcPr>
          <w:p w14:paraId="0680CD04" w14:textId="77777777" w:rsidR="008A42F7" w:rsidRDefault="008A42F7" w:rsidP="00553B6C">
            <w:pPr>
              <w:rPr>
                <w:i w:val="0"/>
                <w:iCs/>
                <w:sz w:val="16"/>
                <w:lang w:val="en-GB"/>
              </w:rPr>
            </w:pPr>
            <w:r w:rsidRPr="0092008A">
              <w:rPr>
                <w:i w:val="0"/>
                <w:iCs/>
                <w:sz w:val="16"/>
                <w:lang w:val="en-GB"/>
              </w:rPr>
              <w:t>Join relevant network initiatives</w:t>
            </w:r>
          </w:p>
          <w:p w14:paraId="1645D272" w14:textId="77777777" w:rsidR="008A42F7" w:rsidRPr="0092008A" w:rsidRDefault="008A42F7" w:rsidP="00553B6C">
            <w:pPr>
              <w:rPr>
                <w:i w:val="0"/>
                <w:iCs/>
                <w:sz w:val="16"/>
                <w:lang w:val="en-GB"/>
              </w:rPr>
            </w:pPr>
          </w:p>
        </w:tc>
        <w:tc>
          <w:tcPr>
            <w:tcW w:w="777" w:type="pct"/>
          </w:tcPr>
          <w:p w14:paraId="0FA7178A" w14:textId="77777777" w:rsidR="008A42F7" w:rsidRPr="00160EEE"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160EEE">
              <w:rPr>
                <w:i w:val="0"/>
                <w:iCs/>
                <w:sz w:val="16"/>
                <w:lang w:val="en-GB"/>
              </w:rPr>
              <w:t>Shaping the public policies, development the investment practices and support the corporate action required to address the long-term financial risks associated with climate change.</w:t>
            </w:r>
          </w:p>
        </w:tc>
        <w:tc>
          <w:tcPr>
            <w:tcW w:w="948" w:type="pct"/>
          </w:tcPr>
          <w:p w14:paraId="183EBE7C" w14:textId="77777777" w:rsidR="008A42F7" w:rsidRPr="00160EEE" w:rsidRDefault="008A42F7" w:rsidP="00553B6C">
            <w:pPr>
              <w:cnfStyle w:val="000000000000" w:firstRow="0" w:lastRow="0" w:firstColumn="0" w:lastColumn="0" w:oddVBand="0" w:evenVBand="0" w:oddHBand="0" w:evenHBand="0" w:firstRowFirstColumn="0" w:firstRowLastColumn="0" w:lastRowFirstColumn="0" w:lastRowLastColumn="0"/>
              <w:rPr>
                <w:i w:val="0"/>
                <w:iCs/>
                <w:sz w:val="16"/>
                <w:shd w:val="clear" w:color="auto" w:fill="E6E6E6"/>
                <w:lang w:val="en-GB"/>
              </w:rPr>
            </w:pPr>
            <w:r w:rsidRPr="00160EEE">
              <w:rPr>
                <w:i w:val="0"/>
                <w:iCs/>
                <w:sz w:val="16"/>
                <w:lang w:val="en-GB"/>
              </w:rPr>
              <w:t>Minimum of one activity per year within any network initiative suitable to exchange best practices and to form thought leadership.</w:t>
            </w:r>
          </w:p>
        </w:tc>
        <w:tc>
          <w:tcPr>
            <w:tcW w:w="920" w:type="pct"/>
          </w:tcPr>
          <w:p w14:paraId="3A1E5B1C" w14:textId="77777777" w:rsidR="008A42F7" w:rsidRPr="00160EEE"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160EEE">
              <w:rPr>
                <w:i w:val="0"/>
                <w:iCs/>
                <w:sz w:val="16"/>
                <w:lang w:val="en-GB"/>
              </w:rPr>
              <w:t>Number of activities per year within any network initiative suitable to exchange best practices and to form thought leadership.</w:t>
            </w:r>
          </w:p>
        </w:tc>
        <w:tc>
          <w:tcPr>
            <w:tcW w:w="919" w:type="pct"/>
            <w:shd w:val="clear" w:color="auto" w:fill="auto"/>
          </w:tcPr>
          <w:p w14:paraId="399A26A0" w14:textId="77777777" w:rsidR="008A42F7" w:rsidRPr="0092008A"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Identification of and sign-up to relevant network initiative suitable to exchange best practices and to form thought leadership.</w:t>
            </w:r>
          </w:p>
        </w:tc>
        <w:tc>
          <w:tcPr>
            <w:tcW w:w="890" w:type="pct"/>
          </w:tcPr>
          <w:p w14:paraId="69C89FB7" w14:textId="77777777" w:rsidR="008A42F7" w:rsidRPr="0092008A" w:rsidRDefault="008A42F7" w:rsidP="00553B6C">
            <w:pPr>
              <w:cnfStyle w:val="000000000000" w:firstRow="0" w:lastRow="0" w:firstColumn="0" w:lastColumn="0" w:oddVBand="0" w:evenVBand="0" w:oddHBand="0" w:evenHBand="0" w:firstRowFirstColumn="0" w:firstRowLastColumn="0" w:lastRowFirstColumn="0" w:lastRowLastColumn="0"/>
              <w:rPr>
                <w:i w:val="0"/>
                <w:iCs/>
                <w:sz w:val="16"/>
                <w:lang w:val="en-GB"/>
              </w:rPr>
            </w:pPr>
            <w:r w:rsidRPr="0092008A">
              <w:rPr>
                <w:i w:val="0"/>
                <w:iCs/>
                <w:sz w:val="16"/>
                <w:lang w:val="en-GB"/>
              </w:rPr>
              <w:t>Identification of and sign-up to relevant network initiative suitable to exchange best practices and to form thought leadership.</w:t>
            </w:r>
          </w:p>
        </w:tc>
      </w:tr>
    </w:tbl>
    <w:p w14:paraId="0BE82EC3" w14:textId="77777777" w:rsidR="00821955" w:rsidRPr="00C835FF" w:rsidRDefault="00821955" w:rsidP="00D02441">
      <w:pPr>
        <w:pStyle w:val="BodyText"/>
        <w:spacing w:before="114" w:after="120"/>
        <w:ind w:left="0" w:right="136"/>
        <w:jc w:val="both"/>
        <w:rPr>
          <w:lang w:val="en-GB"/>
        </w:rPr>
      </w:pPr>
    </w:p>
    <w:p w14:paraId="7CE8920F" w14:textId="374052C7" w:rsidR="00E407FF" w:rsidRPr="00E407FF" w:rsidRDefault="00E407FF" w:rsidP="00E407FF">
      <w:pPr>
        <w:pStyle w:val="BodyText"/>
        <w:spacing w:before="114" w:after="120"/>
        <w:ind w:left="136" w:right="136"/>
        <w:jc w:val="both"/>
        <w:rPr>
          <w:lang w:val="en-GB"/>
        </w:rPr>
      </w:pPr>
      <w:r w:rsidRPr="00E407FF">
        <w:rPr>
          <w:lang w:val="en-GB"/>
        </w:rPr>
        <w:t xml:space="preserve">In accordance with its investment strategy, the Fund invests in </w:t>
      </w:r>
      <w:r w:rsidR="00A23E41">
        <w:rPr>
          <w:lang w:val="en-GB"/>
        </w:rPr>
        <w:t>r</w:t>
      </w:r>
      <w:r w:rsidRPr="00E407FF">
        <w:rPr>
          <w:lang w:val="en-GB"/>
        </w:rPr>
        <w:t xml:space="preserve">eal </w:t>
      </w:r>
      <w:r w:rsidR="00A23E41">
        <w:rPr>
          <w:lang w:val="en-GB"/>
        </w:rPr>
        <w:t>e</w:t>
      </w:r>
      <w:r w:rsidR="00A23E41" w:rsidRPr="00E407FF">
        <w:rPr>
          <w:lang w:val="en-GB"/>
        </w:rPr>
        <w:t xml:space="preserve">state </w:t>
      </w:r>
      <w:r w:rsidR="00A23E41">
        <w:rPr>
          <w:lang w:val="en-GB"/>
        </w:rPr>
        <w:t>a</w:t>
      </w:r>
      <w:r w:rsidRPr="00E407FF">
        <w:rPr>
          <w:lang w:val="en-GB"/>
        </w:rPr>
        <w:t xml:space="preserve">ssets either directly or indirectly via </w:t>
      </w:r>
      <w:r w:rsidR="006B6387">
        <w:rPr>
          <w:lang w:val="en-GB"/>
        </w:rPr>
        <w:t>r</w:t>
      </w:r>
      <w:r w:rsidR="006B6387" w:rsidRPr="00E407FF">
        <w:rPr>
          <w:lang w:val="en-GB"/>
        </w:rPr>
        <w:t xml:space="preserve">eal </w:t>
      </w:r>
      <w:r w:rsidR="006B6387">
        <w:rPr>
          <w:lang w:val="en-GB"/>
        </w:rPr>
        <w:t>e</w:t>
      </w:r>
      <w:r w:rsidR="006B6387" w:rsidRPr="00E407FF">
        <w:rPr>
          <w:lang w:val="en-GB"/>
        </w:rPr>
        <w:t xml:space="preserve">state </w:t>
      </w:r>
      <w:r w:rsidR="006B6387">
        <w:rPr>
          <w:lang w:val="en-GB"/>
        </w:rPr>
        <w:t>c</w:t>
      </w:r>
      <w:r w:rsidRPr="00E407FF">
        <w:rPr>
          <w:lang w:val="en-GB"/>
        </w:rPr>
        <w:t xml:space="preserve">ompanies. In case of an indirect investment via a </w:t>
      </w:r>
      <w:r>
        <w:rPr>
          <w:lang w:val="en-GB"/>
        </w:rPr>
        <w:t>r</w:t>
      </w:r>
      <w:r w:rsidRPr="00E407FF">
        <w:rPr>
          <w:lang w:val="en-GB"/>
        </w:rPr>
        <w:t xml:space="preserve">eal </w:t>
      </w:r>
      <w:r>
        <w:rPr>
          <w:lang w:val="en-GB"/>
        </w:rPr>
        <w:t>e</w:t>
      </w:r>
      <w:r w:rsidRPr="00E407FF">
        <w:rPr>
          <w:lang w:val="en-GB"/>
        </w:rPr>
        <w:t xml:space="preserve">state </w:t>
      </w:r>
      <w:r>
        <w:rPr>
          <w:lang w:val="en-GB"/>
        </w:rPr>
        <w:t>c</w:t>
      </w:r>
      <w:r w:rsidRPr="00E407FF">
        <w:rPr>
          <w:lang w:val="en-GB"/>
        </w:rPr>
        <w:t xml:space="preserve">ompany, given that such </w:t>
      </w:r>
      <w:r>
        <w:rPr>
          <w:lang w:val="en-GB"/>
        </w:rPr>
        <w:t>r</w:t>
      </w:r>
      <w:r w:rsidRPr="00E407FF">
        <w:rPr>
          <w:lang w:val="en-GB"/>
        </w:rPr>
        <w:t xml:space="preserve">eal </w:t>
      </w:r>
      <w:r>
        <w:rPr>
          <w:lang w:val="en-GB"/>
        </w:rPr>
        <w:t>e</w:t>
      </w:r>
      <w:r w:rsidRPr="00E407FF">
        <w:rPr>
          <w:lang w:val="en-GB"/>
        </w:rPr>
        <w:t xml:space="preserve">state </w:t>
      </w:r>
      <w:r>
        <w:rPr>
          <w:lang w:val="en-GB"/>
        </w:rPr>
        <w:t>c</w:t>
      </w:r>
      <w:r w:rsidRPr="00E407FF">
        <w:rPr>
          <w:lang w:val="en-GB"/>
        </w:rPr>
        <w:t>ompanies do not have employees or substance, good governance checks are limited to annual audit of accounts, timely submission of income tax and VAT return, transfer pricing study and funding documentation.</w:t>
      </w:r>
    </w:p>
    <w:p w14:paraId="0D4453DE" w14:textId="5C99187D" w:rsidR="00E407FF" w:rsidRDefault="00E407FF" w:rsidP="001F5AEE">
      <w:pPr>
        <w:pStyle w:val="BodyText"/>
        <w:spacing w:before="114" w:after="120"/>
        <w:ind w:left="136" w:right="136"/>
        <w:jc w:val="both"/>
        <w:rPr>
          <w:lang w:val="en-GB"/>
        </w:rPr>
      </w:pPr>
      <w:r w:rsidRPr="00E407FF">
        <w:rPr>
          <w:lang w:val="en-GB"/>
        </w:rPr>
        <w:lastRenderedPageBreak/>
        <w:t xml:space="preserve">When entering into contracts with third parties (e. g. tenants and third-party service providers), the Fund’s due diligence process includes an assessment of good governance practices, such as management structures, employee relations, staff remuneration, and tax compliance. Specifically, the Investment Advisor and </w:t>
      </w:r>
      <w:r>
        <w:rPr>
          <w:lang w:val="en-GB"/>
        </w:rPr>
        <w:t>Genesta</w:t>
      </w:r>
      <w:r w:rsidRPr="00E407FF">
        <w:rPr>
          <w:lang w:val="en-GB"/>
        </w:rPr>
        <w:t xml:space="preserve"> have a due diligence process which provides guidance on the types of due diligence to be undertaken when acquiring a property and property company. For example, legal, tax, technical, ESG, health and safety due diligence etc. The Investment Advisor and </w:t>
      </w:r>
      <w:r>
        <w:rPr>
          <w:lang w:val="en-GB"/>
        </w:rPr>
        <w:t>Genesta</w:t>
      </w:r>
      <w:r w:rsidRPr="00E407FF">
        <w:rPr>
          <w:lang w:val="en-GB"/>
        </w:rPr>
        <w:t xml:space="preserve"> conduct a fully risk, compliance, and conflict of interest assessment on the investee companies as well. </w:t>
      </w:r>
    </w:p>
    <w:p w14:paraId="5D1C9769" w14:textId="11521E3A" w:rsidR="00C835FF" w:rsidRPr="00C835FF" w:rsidRDefault="00C835FF" w:rsidP="001F5AEE">
      <w:pPr>
        <w:pStyle w:val="BodyText"/>
        <w:spacing w:before="114" w:after="120"/>
        <w:ind w:left="136" w:right="136"/>
        <w:jc w:val="both"/>
        <w:rPr>
          <w:lang w:val="en-GB"/>
        </w:rPr>
      </w:pPr>
    </w:p>
    <w:p w14:paraId="4132CAE1" w14:textId="20752A50" w:rsidR="00C35B42" w:rsidRPr="00C35B42" w:rsidRDefault="00C35B42" w:rsidP="001F5AEE">
      <w:pPr>
        <w:pStyle w:val="BodyText"/>
        <w:keepNext/>
        <w:spacing w:before="114"/>
        <w:ind w:left="136" w:right="136"/>
        <w:contextualSpacing/>
        <w:jc w:val="both"/>
        <w:rPr>
          <w:b/>
          <w:bCs/>
          <w:lang w:val="en-GB"/>
        </w:rPr>
      </w:pPr>
      <w:r w:rsidRPr="00C35B42">
        <w:rPr>
          <w:b/>
          <w:bCs/>
          <w:lang w:val="en-GB"/>
        </w:rPr>
        <w:t>Proportion of investments</w:t>
      </w:r>
    </w:p>
    <w:p w14:paraId="6C313C92" w14:textId="7BEAA4F8" w:rsidR="002C3615" w:rsidRPr="002C3615" w:rsidRDefault="002C3615" w:rsidP="002C3615">
      <w:pPr>
        <w:pStyle w:val="BodyText"/>
        <w:spacing w:before="114" w:after="120"/>
        <w:ind w:left="136" w:right="136"/>
        <w:jc w:val="both"/>
        <w:rPr>
          <w:lang w:val="en-GB"/>
        </w:rPr>
      </w:pPr>
      <w:r>
        <w:rPr>
          <w:lang w:val="en-GB"/>
        </w:rPr>
        <w:t>Th</w:t>
      </w:r>
      <w:r w:rsidRPr="002C3615">
        <w:rPr>
          <w:lang w:val="en-GB"/>
        </w:rPr>
        <w:t>e Fund plans to allocate a minimum proportion of 75% of the investments to meet the environmental and social characteristics promoted by the Fund in accordance with the binding elements of the investment strategy (#1 in the illustration below). Currently 0% of the investments will qualify as sustainable investments within the meaning of Article 2(17) of the SFDR (#1A in the illustration below).</w:t>
      </w:r>
    </w:p>
    <w:p w14:paraId="1753D2C2" w14:textId="590B4E21" w:rsidR="00BB5636" w:rsidRPr="00C835FF" w:rsidRDefault="002C3615" w:rsidP="001F5AEE">
      <w:pPr>
        <w:pStyle w:val="BodyText"/>
        <w:spacing w:before="114" w:after="120"/>
        <w:ind w:left="136" w:right="136"/>
        <w:jc w:val="both"/>
        <w:rPr>
          <w:lang w:val="en-GB"/>
        </w:rPr>
      </w:pPr>
      <w:r w:rsidRPr="002C3615">
        <w:rPr>
          <w:lang w:val="en-GB"/>
        </w:rPr>
        <w:t>It is the intention of the Fund, that 75% of the investments are classified under #1B (investments aligned with the environmental or social characteristics that do not qualify as sustainable investments). The remaining proportion of the investments is expected to be 25% and would qualify as “#2 Other”.</w:t>
      </w:r>
    </w:p>
    <w:p w14:paraId="57CC937F" w14:textId="45D00381" w:rsidR="00FE60A5" w:rsidRDefault="00677C31" w:rsidP="00BB5636">
      <w:pPr>
        <w:pStyle w:val="BodyText"/>
        <w:spacing w:before="114"/>
        <w:ind w:left="138" w:right="134"/>
        <w:contextualSpacing/>
        <w:jc w:val="both"/>
        <w:rPr>
          <w:lang w:val="en-GB"/>
        </w:rPr>
      </w:pPr>
      <w:r>
        <w:rPr>
          <w:noProof/>
        </w:rPr>
        <mc:AlternateContent>
          <mc:Choice Requires="wpg">
            <w:drawing>
              <wp:inline distT="0" distB="0" distL="0" distR="0" wp14:anchorId="0367080B" wp14:editId="494C21ED">
                <wp:extent cx="5429250" cy="3613709"/>
                <wp:effectExtent l="0" t="0" r="0" b="6350"/>
                <wp:docPr id="28" name="Group 37"/>
                <wp:cNvGraphicFramePr/>
                <a:graphic xmlns:a="http://schemas.openxmlformats.org/drawingml/2006/main">
                  <a:graphicData uri="http://schemas.microsoft.com/office/word/2010/wordprocessingGroup">
                    <wpg:wgp>
                      <wpg:cNvGrpSpPr/>
                      <wpg:grpSpPr>
                        <a:xfrm>
                          <a:off x="0" y="0"/>
                          <a:ext cx="5429250" cy="3613709"/>
                          <a:chOff x="221896" y="-1"/>
                          <a:chExt cx="6927315" cy="3385255"/>
                        </a:xfrm>
                      </wpg:grpSpPr>
                      <wpg:grpSp>
                        <wpg:cNvPr id="29" name="Group 29"/>
                        <wpg:cNvGrpSpPr/>
                        <wpg:grpSpPr>
                          <a:xfrm>
                            <a:off x="221896" y="-1"/>
                            <a:ext cx="6927315" cy="3385255"/>
                            <a:chOff x="221896" y="-1"/>
                            <a:chExt cx="6927315" cy="3385255"/>
                          </a:xfrm>
                        </wpg:grpSpPr>
                        <wps:wsp>
                          <wps:cNvPr id="30" name="Rectangle 30"/>
                          <wps:cNvSpPr>
                            <a:spLocks noChangeArrowheads="1"/>
                          </wps:cNvSpPr>
                          <wps:spPr bwMode="auto">
                            <a:xfrm>
                              <a:off x="221896" y="-1"/>
                              <a:ext cx="6927315" cy="3385231"/>
                            </a:xfrm>
                            <a:prstGeom prst="rect">
                              <a:avLst/>
                            </a:prstGeom>
                            <a:solidFill>
                              <a:srgbClr val="FAE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9"/>
                          <wps:cNvSpPr txBox="1">
                            <a:spLocks noChangeArrowheads="1"/>
                          </wps:cNvSpPr>
                          <wps:spPr bwMode="auto">
                            <a:xfrm>
                              <a:off x="221896" y="1836951"/>
                              <a:ext cx="6927315" cy="1548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B212" w14:textId="34FF0728" w:rsidR="00677C31" w:rsidRPr="00E86AE8" w:rsidRDefault="00677C31" w:rsidP="00677C31">
                                <w:pPr>
                                  <w:spacing w:after="60"/>
                                  <w:rPr>
                                    <w:rFonts w:eastAsia="Calibri"/>
                                    <w:color w:val="C00000"/>
                                    <w:kern w:val="24"/>
                                    <w:sz w:val="18"/>
                                    <w:szCs w:val="18"/>
                                    <w:lang w:val="en-US"/>
                                  </w:rPr>
                                </w:pPr>
                                <w:r w:rsidRPr="00E86AE8">
                                  <w:rPr>
                                    <w:rFonts w:eastAsia="Calibri"/>
                                    <w:i/>
                                    <w:iCs/>
                                    <w:color w:val="C00000"/>
                                    <w:kern w:val="24"/>
                                    <w:sz w:val="18"/>
                                    <w:szCs w:val="18"/>
                                    <w:lang w:val="en-US"/>
                                  </w:rPr>
                                  <w:t> </w:t>
                                </w:r>
                                <w:r w:rsidRPr="00E86AE8">
                                  <w:rPr>
                                    <w:rFonts w:eastAsia="Calibri"/>
                                    <w:b/>
                                    <w:bCs/>
                                    <w:color w:val="000000" w:themeColor="text1"/>
                                    <w:kern w:val="24"/>
                                    <w:sz w:val="18"/>
                                    <w:szCs w:val="18"/>
                                    <w:lang w:val="en-US"/>
                                  </w:rPr>
                                  <w:t>#1</w:t>
                                </w:r>
                                <w:r w:rsidRPr="00E86AE8">
                                  <w:rPr>
                                    <w:rFonts w:eastAsia="Calibri"/>
                                    <w:b/>
                                    <w:bCs/>
                                    <w:color w:val="000000" w:themeColor="text1"/>
                                    <w:spacing w:val="-3"/>
                                    <w:kern w:val="24"/>
                                    <w:sz w:val="18"/>
                                    <w:szCs w:val="18"/>
                                    <w:lang w:val="en-US"/>
                                  </w:rPr>
                                  <w:t xml:space="preserve"> </w:t>
                                </w:r>
                                <w:r w:rsidRPr="00E86AE8">
                                  <w:rPr>
                                    <w:rFonts w:eastAsia="Calibri"/>
                                    <w:b/>
                                    <w:bCs/>
                                    <w:color w:val="000000" w:themeColor="text1"/>
                                    <w:kern w:val="24"/>
                                    <w:sz w:val="18"/>
                                    <w:szCs w:val="18"/>
                                    <w:lang w:val="en-US"/>
                                  </w:rPr>
                                  <w:t>Aligned</w:t>
                                </w:r>
                                <w:r w:rsidRPr="00E86AE8">
                                  <w:rPr>
                                    <w:rFonts w:eastAsia="Calibri"/>
                                    <w:b/>
                                    <w:bCs/>
                                    <w:color w:val="000000" w:themeColor="text1"/>
                                    <w:spacing w:val="-3"/>
                                    <w:kern w:val="24"/>
                                    <w:sz w:val="18"/>
                                    <w:szCs w:val="18"/>
                                    <w:lang w:val="en-US"/>
                                  </w:rPr>
                                  <w:t xml:space="preserve"> </w:t>
                                </w:r>
                                <w:r w:rsidRPr="00E86AE8">
                                  <w:rPr>
                                    <w:rFonts w:eastAsia="Calibri"/>
                                    <w:b/>
                                    <w:bCs/>
                                    <w:color w:val="000000" w:themeColor="text1"/>
                                    <w:kern w:val="24"/>
                                    <w:sz w:val="18"/>
                                    <w:szCs w:val="18"/>
                                    <w:lang w:val="en-US"/>
                                  </w:rPr>
                                  <w:t>with</w:t>
                                </w:r>
                                <w:r w:rsidRPr="00E86AE8">
                                  <w:rPr>
                                    <w:rFonts w:eastAsia="Calibri"/>
                                    <w:b/>
                                    <w:bCs/>
                                    <w:color w:val="000000" w:themeColor="text1"/>
                                    <w:spacing w:val="-3"/>
                                    <w:kern w:val="24"/>
                                    <w:sz w:val="18"/>
                                    <w:szCs w:val="18"/>
                                    <w:lang w:val="en-US"/>
                                  </w:rPr>
                                  <w:t xml:space="preserve"> </w:t>
                                </w:r>
                                <w:r w:rsidRPr="00E86AE8">
                                  <w:rPr>
                                    <w:rFonts w:eastAsia="Calibri"/>
                                    <w:b/>
                                    <w:bCs/>
                                    <w:color w:val="000000" w:themeColor="text1"/>
                                    <w:kern w:val="24"/>
                                    <w:sz w:val="18"/>
                                    <w:szCs w:val="18"/>
                                    <w:lang w:val="en-US"/>
                                  </w:rPr>
                                  <w:t>E/S</w:t>
                                </w:r>
                                <w:r w:rsidRPr="00E86AE8">
                                  <w:rPr>
                                    <w:rFonts w:eastAsia="Calibri"/>
                                    <w:b/>
                                    <w:bCs/>
                                    <w:color w:val="000000" w:themeColor="text1"/>
                                    <w:spacing w:val="-1"/>
                                    <w:kern w:val="24"/>
                                    <w:sz w:val="18"/>
                                    <w:szCs w:val="18"/>
                                    <w:lang w:val="en-US"/>
                                  </w:rPr>
                                  <w:t xml:space="preserve"> </w:t>
                                </w:r>
                                <w:r w:rsidRPr="00E86AE8">
                                  <w:rPr>
                                    <w:rFonts w:eastAsia="Calibri"/>
                                    <w:b/>
                                    <w:bCs/>
                                    <w:color w:val="000000" w:themeColor="text1"/>
                                    <w:kern w:val="24"/>
                                    <w:sz w:val="18"/>
                                    <w:szCs w:val="18"/>
                                    <w:lang w:val="en-US"/>
                                  </w:rPr>
                                  <w:t>characteristics</w:t>
                                </w:r>
                                <w:r w:rsidRPr="00E86AE8">
                                  <w:rPr>
                                    <w:rFonts w:eastAsia="Calibri"/>
                                    <w:b/>
                                    <w:bCs/>
                                    <w:color w:val="000000" w:themeColor="text1"/>
                                    <w:spacing w:val="-2"/>
                                    <w:kern w:val="24"/>
                                    <w:sz w:val="18"/>
                                    <w:szCs w:val="18"/>
                                    <w:lang w:val="en-US"/>
                                  </w:rPr>
                                  <w:t xml:space="preserve"> </w:t>
                                </w:r>
                                <w:r w:rsidRPr="00E86AE8">
                                  <w:rPr>
                                    <w:rFonts w:eastAsia="Calibri"/>
                                    <w:color w:val="000000" w:themeColor="text1"/>
                                    <w:kern w:val="24"/>
                                    <w:sz w:val="18"/>
                                    <w:szCs w:val="18"/>
                                    <w:lang w:val="en-US"/>
                                  </w:rPr>
                                  <w:t>includes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investments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of</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financial</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product</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used</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to</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attain</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the</w:t>
                                </w:r>
                                <w:r w:rsidR="008223CD" w:rsidRPr="00E86AE8">
                                  <w:rPr>
                                    <w:rFonts w:eastAsia="Calibri"/>
                                    <w:color w:val="000000" w:themeColor="text1"/>
                                    <w:kern w:val="24"/>
                                    <w:sz w:val="18"/>
                                    <w:szCs w:val="18"/>
                                    <w:lang w:val="en-US"/>
                                  </w:rPr>
                                  <w:t xml:space="preserve"> </w:t>
                                </w:r>
                                <w:r w:rsidRPr="00E86AE8">
                                  <w:rPr>
                                    <w:rFonts w:eastAsia="Calibri"/>
                                    <w:color w:val="000000" w:themeColor="text1"/>
                                    <w:kern w:val="24"/>
                                    <w:sz w:val="18"/>
                                    <w:szCs w:val="18"/>
                                    <w:lang w:val="en-US"/>
                                  </w:rPr>
                                  <w:t>environmental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or</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social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characteristics</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promoted</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by</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financial</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product.</w:t>
                                </w:r>
                              </w:p>
                              <w:p w14:paraId="00A4619E" w14:textId="77777777" w:rsidR="00677C31" w:rsidRPr="00E86AE8" w:rsidRDefault="00677C31" w:rsidP="00677C31">
                                <w:pPr>
                                  <w:spacing w:after="60"/>
                                  <w:rPr>
                                    <w:rFonts w:eastAsia="Calibri"/>
                                    <w:b/>
                                    <w:bCs/>
                                    <w:color w:val="000000" w:themeColor="text1"/>
                                    <w:kern w:val="24"/>
                                    <w:sz w:val="18"/>
                                    <w:szCs w:val="18"/>
                                    <w:lang w:val="en-US"/>
                                  </w:rPr>
                                </w:pPr>
                                <w:r w:rsidRPr="00E86AE8">
                                  <w:rPr>
                                    <w:rFonts w:eastAsia="Calibri"/>
                                    <w:b/>
                                    <w:bCs/>
                                    <w:color w:val="000000" w:themeColor="text1"/>
                                    <w:kern w:val="24"/>
                                    <w:sz w:val="18"/>
                                    <w:szCs w:val="18"/>
                                    <w:lang w:val="en-US"/>
                                  </w:rPr>
                                  <w:t>#2 Other</w:t>
                                </w:r>
                                <w:r w:rsidRPr="00E86AE8">
                                  <w:rPr>
                                    <w:rFonts w:eastAsia="Calibri"/>
                                    <w:b/>
                                    <w:bCs/>
                                    <w:color w:val="000000" w:themeColor="text1"/>
                                    <w:spacing w:val="-3"/>
                                    <w:kern w:val="24"/>
                                    <w:sz w:val="18"/>
                                    <w:szCs w:val="18"/>
                                    <w:lang w:val="en-US"/>
                                  </w:rPr>
                                  <w:t xml:space="preserve"> </w:t>
                                </w:r>
                                <w:r w:rsidRPr="00E86AE8">
                                  <w:rPr>
                                    <w:rFonts w:eastAsia="Calibri"/>
                                    <w:color w:val="000000" w:themeColor="text1"/>
                                    <w:kern w:val="24"/>
                                    <w:sz w:val="18"/>
                                    <w:szCs w:val="18"/>
                                    <w:lang w:val="en-US"/>
                                  </w:rPr>
                                  <w:t>includes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remaining</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investments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of</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financial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product</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which</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are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neither</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aligned</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with</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8"/>
                                    <w:kern w:val="24"/>
                                    <w:sz w:val="18"/>
                                    <w:szCs w:val="18"/>
                                    <w:lang w:val="en-US"/>
                                  </w:rPr>
                                  <w:t xml:space="preserve"> </w:t>
                                </w:r>
                                <w:r w:rsidRPr="00E86AE8">
                                  <w:rPr>
                                    <w:rFonts w:eastAsia="Calibri"/>
                                    <w:color w:val="000000" w:themeColor="text1"/>
                                    <w:kern w:val="24"/>
                                    <w:sz w:val="18"/>
                                    <w:szCs w:val="18"/>
                                    <w:lang w:val="en-US"/>
                                  </w:rPr>
                                  <w:t>environmental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or</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social</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characteristics,</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nor</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are qualified</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as sustainable</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investments.</w:t>
                                </w:r>
                              </w:p>
                              <w:p w14:paraId="3D418E4A" w14:textId="77777777" w:rsidR="00677C31" w:rsidRDefault="00677C31" w:rsidP="00677C31">
                                <w:pPr>
                                  <w:spacing w:after="60"/>
                                  <w:rPr>
                                    <w:rFonts w:eastAsia="Calibri"/>
                                    <w:color w:val="000000" w:themeColor="text1"/>
                                    <w:kern w:val="24"/>
                                    <w:sz w:val="18"/>
                                    <w:szCs w:val="18"/>
                                    <w:lang w:val="en-GB"/>
                                  </w:rPr>
                                </w:pPr>
                                <w:r>
                                  <w:rPr>
                                    <w:rFonts w:eastAsia="Calibri"/>
                                    <w:color w:val="000000" w:themeColor="text1"/>
                                    <w:kern w:val="24"/>
                                    <w:sz w:val="18"/>
                                    <w:szCs w:val="18"/>
                                    <w:lang w:val="en-GB"/>
                                  </w:rPr>
                                  <w:t xml:space="preserve">The category </w:t>
                                </w:r>
                                <w:r>
                                  <w:rPr>
                                    <w:rFonts w:eastAsia="Calibri"/>
                                    <w:b/>
                                    <w:bCs/>
                                    <w:color w:val="000000" w:themeColor="text1"/>
                                    <w:kern w:val="24"/>
                                    <w:sz w:val="18"/>
                                    <w:szCs w:val="18"/>
                                    <w:lang w:val="en-GB"/>
                                  </w:rPr>
                                  <w:t xml:space="preserve">#1 Aligned with E/S characteristics </w:t>
                                </w:r>
                                <w:r>
                                  <w:rPr>
                                    <w:rFonts w:eastAsia="Calibri"/>
                                    <w:color w:val="000000" w:themeColor="text1"/>
                                    <w:kern w:val="24"/>
                                    <w:sz w:val="18"/>
                                    <w:szCs w:val="18"/>
                                    <w:lang w:val="en-GB"/>
                                  </w:rPr>
                                  <w:t>covers:</w:t>
                                </w:r>
                              </w:p>
                              <w:p w14:paraId="16FC86F3" w14:textId="77777777" w:rsidR="00677C31" w:rsidRDefault="00677C31" w:rsidP="00677C31">
                                <w:pPr>
                                  <w:spacing w:after="60"/>
                                  <w:rPr>
                                    <w:rFonts w:eastAsia="Calibri"/>
                                    <w:color w:val="000000" w:themeColor="text1"/>
                                    <w:kern w:val="24"/>
                                    <w:sz w:val="18"/>
                                    <w:szCs w:val="18"/>
                                    <w:lang w:val="en-GB"/>
                                  </w:rPr>
                                </w:pPr>
                                <w:r>
                                  <w:rPr>
                                    <w:rFonts w:eastAsia="Calibri"/>
                                    <w:color w:val="000000" w:themeColor="text1"/>
                                    <w:kern w:val="24"/>
                                    <w:sz w:val="18"/>
                                    <w:szCs w:val="18"/>
                                    <w:lang w:val="en-GB"/>
                                  </w:rPr>
                                  <w:t xml:space="preserve">- The sub-category </w:t>
                                </w:r>
                                <w:r>
                                  <w:rPr>
                                    <w:rFonts w:eastAsia="Calibri"/>
                                    <w:b/>
                                    <w:bCs/>
                                    <w:color w:val="000000" w:themeColor="text1"/>
                                    <w:kern w:val="24"/>
                                    <w:sz w:val="18"/>
                                    <w:szCs w:val="18"/>
                                    <w:lang w:val="en-GB"/>
                                  </w:rPr>
                                  <w:t xml:space="preserve">#1A Sustainable </w:t>
                                </w:r>
                                <w:r>
                                  <w:rPr>
                                    <w:rFonts w:eastAsia="Calibri"/>
                                    <w:color w:val="000000" w:themeColor="text1"/>
                                    <w:kern w:val="24"/>
                                    <w:sz w:val="18"/>
                                    <w:szCs w:val="18"/>
                                    <w:lang w:val="en-GB"/>
                                  </w:rPr>
                                  <w:t>covers sustainable investments with environmental or social objectives.</w:t>
                                </w:r>
                              </w:p>
                              <w:p w14:paraId="70D1E3F4" w14:textId="77777777" w:rsidR="00677C31" w:rsidRDefault="00677C31" w:rsidP="00677C31">
                                <w:pPr>
                                  <w:spacing w:after="60"/>
                                  <w:rPr>
                                    <w:rFonts w:eastAsia="Calibri"/>
                                    <w:color w:val="000000" w:themeColor="text1"/>
                                    <w:kern w:val="24"/>
                                    <w:sz w:val="18"/>
                                    <w:szCs w:val="18"/>
                                    <w:lang w:val="en-GB"/>
                                  </w:rPr>
                                </w:pPr>
                                <w:r>
                                  <w:rPr>
                                    <w:rFonts w:eastAsia="Calibri"/>
                                    <w:color w:val="000000" w:themeColor="text1"/>
                                    <w:kern w:val="24"/>
                                    <w:sz w:val="18"/>
                                    <w:szCs w:val="18"/>
                                    <w:lang w:val="en-GB"/>
                                  </w:rPr>
                                  <w:t xml:space="preserve">- The sub-category </w:t>
                                </w:r>
                                <w:r>
                                  <w:rPr>
                                    <w:rFonts w:eastAsia="Calibri"/>
                                    <w:b/>
                                    <w:bCs/>
                                    <w:color w:val="000000" w:themeColor="text1"/>
                                    <w:kern w:val="24"/>
                                    <w:sz w:val="18"/>
                                    <w:szCs w:val="18"/>
                                    <w:lang w:val="en-GB"/>
                                  </w:rPr>
                                  <w:t xml:space="preserve">#1B Other E/S characteristics </w:t>
                                </w:r>
                                <w:r>
                                  <w:rPr>
                                    <w:rFonts w:eastAsia="Calibri"/>
                                    <w:color w:val="000000" w:themeColor="text1"/>
                                    <w:kern w:val="24"/>
                                    <w:sz w:val="18"/>
                                    <w:szCs w:val="18"/>
                                    <w:lang w:val="en-GB"/>
                                  </w:rPr>
                                  <w:t>covers investments aligned with the environmental or social characteristics that do not qualify as sustainable investments.</w:t>
                                </w:r>
                              </w:p>
                              <w:p w14:paraId="3F22F303" w14:textId="77777777" w:rsidR="00677C31" w:rsidRPr="00E86AE8" w:rsidRDefault="00677C31" w:rsidP="00677C31">
                                <w:pPr>
                                  <w:spacing w:after="60"/>
                                  <w:ind w:left="158"/>
                                  <w:rPr>
                                    <w:rFonts w:eastAsia="Calibri"/>
                                    <w:color w:val="000000" w:themeColor="text1"/>
                                    <w:kern w:val="24"/>
                                    <w:sz w:val="18"/>
                                    <w:szCs w:val="18"/>
                                    <w:lang w:val="en-US"/>
                                  </w:rPr>
                                </w:pPr>
                                <w:r w:rsidRPr="00E86AE8">
                                  <w:rPr>
                                    <w:rFonts w:eastAsia="Calibri"/>
                                    <w:color w:val="000000" w:themeColor="text1"/>
                                    <w:kern w:val="24"/>
                                    <w:sz w:val="18"/>
                                    <w:szCs w:val="18"/>
                                    <w:lang w:val="en-US"/>
                                  </w:rPr>
                                  <w:t> </w:t>
                                </w:r>
                              </w:p>
                            </w:txbxContent>
                          </wps:txbx>
                          <wps:bodyPr rot="0" vert="horz" wrap="square" lIns="72000" tIns="0" rIns="0" bIns="0" anchor="t" anchorCtr="0" upright="1">
                            <a:noAutofit/>
                          </wps:bodyPr>
                        </wps:wsp>
                      </wpg:grpSp>
                      <wpg:grpSp>
                        <wpg:cNvPr id="1152" name="Group 1152"/>
                        <wpg:cNvGrpSpPr/>
                        <wpg:grpSpPr>
                          <a:xfrm>
                            <a:off x="610125" y="109133"/>
                            <a:ext cx="6143837" cy="1727534"/>
                            <a:chOff x="610125" y="109133"/>
                            <a:chExt cx="6143837" cy="1727534"/>
                          </a:xfrm>
                        </wpg:grpSpPr>
                        <wps:wsp>
                          <wps:cNvPr id="1153" name="Rectangle 1153"/>
                          <wps:cNvSpPr/>
                          <wps:spPr>
                            <a:xfrm>
                              <a:off x="610125" y="862401"/>
                              <a:ext cx="1297683" cy="413333"/>
                            </a:xfrm>
                            <a:prstGeom prst="rect">
                              <a:avLst/>
                            </a:prstGeom>
                            <a:solidFill>
                              <a:srgbClr val="A5A5A5"/>
                            </a:solidFill>
                            <a:ln w="12700" cap="flat" cmpd="sng" algn="ctr">
                              <a:solidFill>
                                <a:srgbClr val="A5A5A5">
                                  <a:shade val="50000"/>
                                </a:srgbClr>
                              </a:solidFill>
                              <a:prstDash val="solid"/>
                              <a:miter lim="800000"/>
                            </a:ln>
                            <a:effectLst/>
                          </wps:spPr>
                          <wps:txbx>
                            <w:txbxContent>
                              <w:p w14:paraId="3AD19F2B" w14:textId="77777777" w:rsidR="00677C31" w:rsidRPr="000A2BE3" w:rsidRDefault="00677C31" w:rsidP="00677C31">
                                <w:pPr>
                                  <w:jc w:val="center"/>
                                  <w:rPr>
                                    <w:rFonts w:cs="Calibri"/>
                                    <w:color w:val="000000" w:themeColor="text1"/>
                                    <w:kern w:val="24"/>
                                    <w:sz w:val="18"/>
                                    <w:szCs w:val="18"/>
                                    <w:lang w:val="en-GB"/>
                                  </w:rPr>
                                </w:pPr>
                                <w:r w:rsidRPr="000A2BE3">
                                  <w:rPr>
                                    <w:rFonts w:cs="Calibri"/>
                                    <w:color w:val="000000" w:themeColor="text1"/>
                                    <w:kern w:val="24"/>
                                    <w:sz w:val="18"/>
                                    <w:szCs w:val="18"/>
                                    <w:lang w:val="en-GB"/>
                                  </w:rPr>
                                  <w:t>Investments</w:t>
                                </w:r>
                              </w:p>
                            </w:txbxContent>
                          </wps:txbx>
                          <wps:bodyPr rtlCol="0" anchor="ctr"/>
                        </wps:wsp>
                        <wps:wsp>
                          <wps:cNvPr id="1154" name="Rectangle 1154"/>
                          <wps:cNvSpPr/>
                          <wps:spPr>
                            <a:xfrm>
                              <a:off x="2195193" y="522453"/>
                              <a:ext cx="1297683" cy="562235"/>
                            </a:xfrm>
                            <a:prstGeom prst="rect">
                              <a:avLst/>
                            </a:prstGeom>
                            <a:solidFill>
                              <a:srgbClr val="70AD47">
                                <a:lumMod val="60000"/>
                                <a:lumOff val="40000"/>
                              </a:srgbClr>
                            </a:solidFill>
                            <a:ln w="12700" cap="flat" cmpd="sng" algn="ctr">
                              <a:solidFill>
                                <a:srgbClr val="70AD47"/>
                              </a:solidFill>
                              <a:prstDash val="solid"/>
                              <a:miter lim="800000"/>
                            </a:ln>
                            <a:effectLst/>
                          </wps:spPr>
                          <wps:txbx>
                            <w:txbxContent>
                              <w:p w14:paraId="16D40FBD" w14:textId="01E1F6AF"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75</w:t>
                                </w:r>
                                <w:r w:rsidR="00677C31" w:rsidRPr="00DD04D5">
                                  <w:rPr>
                                    <w:rFonts w:cs="Calibri"/>
                                    <w:color w:val="000000" w:themeColor="text1"/>
                                    <w:kern w:val="24"/>
                                    <w:sz w:val="16"/>
                                    <w:szCs w:val="16"/>
                                    <w:lang w:val="en-GB"/>
                                  </w:rPr>
                                  <w:t>%</w:t>
                                </w:r>
                              </w:p>
                              <w:p w14:paraId="606C7457"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#1 Aligned with E/S</w:t>
                                </w:r>
                                <w:r>
                                  <w:rPr>
                                    <w:rFonts w:cs="Calibri"/>
                                    <w:color w:val="000000" w:themeColor="text1"/>
                                    <w:kern w:val="24"/>
                                    <w:sz w:val="16"/>
                                    <w:szCs w:val="16"/>
                                    <w:lang w:val="en-GB"/>
                                  </w:rPr>
                                  <w:t xml:space="preserve"> characteristics</w:t>
                                </w:r>
                              </w:p>
                            </w:txbxContent>
                          </wps:txbx>
                          <wps:bodyPr rtlCol="0" anchor="ctr"/>
                        </wps:wsp>
                        <wps:wsp>
                          <wps:cNvPr id="1155" name="Rectangle 1155"/>
                          <wps:cNvSpPr/>
                          <wps:spPr>
                            <a:xfrm>
                              <a:off x="2195492" y="1202309"/>
                              <a:ext cx="1297683" cy="413333"/>
                            </a:xfrm>
                            <a:prstGeom prst="rect">
                              <a:avLst/>
                            </a:prstGeom>
                            <a:solidFill>
                              <a:srgbClr val="A5A5A5"/>
                            </a:solidFill>
                            <a:ln w="12700" cap="flat" cmpd="sng" algn="ctr">
                              <a:solidFill>
                                <a:srgbClr val="A5A5A5">
                                  <a:shade val="50000"/>
                                </a:srgbClr>
                              </a:solidFill>
                              <a:prstDash val="solid"/>
                              <a:miter lim="800000"/>
                            </a:ln>
                            <a:effectLst/>
                          </wps:spPr>
                          <wps:txbx>
                            <w:txbxContent>
                              <w:p w14:paraId="3BB80DAA" w14:textId="54C15264"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25</w:t>
                                </w:r>
                                <w:r w:rsidR="00677C31" w:rsidRPr="00DD04D5">
                                  <w:rPr>
                                    <w:rFonts w:cs="Calibri"/>
                                    <w:color w:val="000000" w:themeColor="text1"/>
                                    <w:kern w:val="24"/>
                                    <w:sz w:val="16"/>
                                    <w:szCs w:val="16"/>
                                    <w:lang w:val="en-GB"/>
                                  </w:rPr>
                                  <w:t>%</w:t>
                                </w:r>
                              </w:p>
                              <w:p w14:paraId="1EF1075B"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#2 Other</w:t>
                                </w:r>
                              </w:p>
                            </w:txbxContent>
                          </wps:txbx>
                          <wps:bodyPr rtlCol="0" anchor="ctr"/>
                        </wps:wsp>
                        <wps:wsp>
                          <wps:cNvPr id="1156" name="Connector: Elbow 1156"/>
                          <wps:cNvCnPr>
                            <a:cxnSpLocks/>
                          </wps:cNvCnPr>
                          <wps:spPr>
                            <a:xfrm>
                              <a:off x="1907808" y="1069067"/>
                              <a:ext cx="287684" cy="339910"/>
                            </a:xfrm>
                            <a:prstGeom prst="bentConnector3">
                              <a:avLst/>
                            </a:prstGeom>
                            <a:noFill/>
                            <a:ln w="6350" cap="flat" cmpd="sng" algn="ctr">
                              <a:solidFill>
                                <a:sysClr val="windowText" lastClr="000000">
                                  <a:lumMod val="50000"/>
                                  <a:lumOff val="50000"/>
                                </a:sysClr>
                              </a:solidFill>
                              <a:prstDash val="solid"/>
                              <a:miter lim="800000"/>
                            </a:ln>
                            <a:effectLst/>
                          </wps:spPr>
                          <wps:bodyPr/>
                        </wps:wsp>
                        <wps:wsp>
                          <wps:cNvPr id="1157" name="Connector: Elbow 1157"/>
                          <wps:cNvCnPr>
                            <a:cxnSpLocks/>
                          </wps:cNvCnPr>
                          <wps:spPr>
                            <a:xfrm flipV="1">
                              <a:off x="1907808" y="729158"/>
                              <a:ext cx="287684" cy="339909"/>
                            </a:xfrm>
                            <a:prstGeom prst="bentConnector3">
                              <a:avLst>
                                <a:gd name="adj1" fmla="val 50000"/>
                              </a:avLst>
                            </a:prstGeom>
                            <a:noFill/>
                            <a:ln w="6350" cap="flat" cmpd="sng" algn="ctr">
                              <a:solidFill>
                                <a:sysClr val="windowText" lastClr="000000">
                                  <a:lumMod val="50000"/>
                                  <a:lumOff val="50000"/>
                                </a:sysClr>
                              </a:solidFill>
                              <a:prstDash val="solid"/>
                              <a:miter lim="800000"/>
                            </a:ln>
                            <a:effectLst/>
                          </wps:spPr>
                          <wps:bodyPr/>
                        </wps:wsp>
                        <wps:wsp>
                          <wps:cNvPr id="1158" name="Rectangle 1158"/>
                          <wps:cNvSpPr/>
                          <wps:spPr>
                            <a:xfrm>
                              <a:off x="3780856" y="315775"/>
                              <a:ext cx="1314467" cy="442666"/>
                            </a:xfrm>
                            <a:prstGeom prst="rect">
                              <a:avLst/>
                            </a:prstGeom>
                            <a:solidFill>
                              <a:srgbClr val="70AD47">
                                <a:lumMod val="75000"/>
                              </a:srgbClr>
                            </a:solidFill>
                            <a:ln w="12700" cap="flat" cmpd="sng" algn="ctr">
                              <a:solidFill>
                                <a:srgbClr val="70AD47">
                                  <a:lumMod val="50000"/>
                                </a:srgbClr>
                              </a:solidFill>
                              <a:prstDash val="solid"/>
                              <a:miter lim="800000"/>
                            </a:ln>
                            <a:effectLst/>
                          </wps:spPr>
                          <wps:txbx>
                            <w:txbxContent>
                              <w:p w14:paraId="1FB3E44F" w14:textId="1782B6BA" w:rsidR="00677C31" w:rsidRPr="00DD04D5" w:rsidRDefault="00720550" w:rsidP="00677C31">
                                <w:pPr>
                                  <w:jc w:val="center"/>
                                  <w:rPr>
                                    <w:rFonts w:cs="Calibri"/>
                                    <w:color w:val="FFFFFF" w:themeColor="background1"/>
                                    <w:kern w:val="24"/>
                                    <w:sz w:val="16"/>
                                    <w:szCs w:val="16"/>
                                    <w:lang w:val="en-GB"/>
                                  </w:rPr>
                                </w:pPr>
                                <w:r>
                                  <w:rPr>
                                    <w:rFonts w:cs="Calibri"/>
                                    <w:color w:val="FFFFFF" w:themeColor="background1"/>
                                    <w:kern w:val="24"/>
                                    <w:sz w:val="16"/>
                                    <w:szCs w:val="16"/>
                                    <w:lang w:val="en-GB"/>
                                  </w:rPr>
                                  <w:t>0</w:t>
                                </w:r>
                                <w:r w:rsidR="00677C31" w:rsidRPr="00DD04D5">
                                  <w:rPr>
                                    <w:rFonts w:cs="Calibri"/>
                                    <w:color w:val="FFFFFF" w:themeColor="background1"/>
                                    <w:kern w:val="24"/>
                                    <w:sz w:val="16"/>
                                    <w:szCs w:val="16"/>
                                    <w:lang w:val="en-GB"/>
                                  </w:rPr>
                                  <w:t>%</w:t>
                                </w:r>
                              </w:p>
                              <w:p w14:paraId="534A71A8" w14:textId="77777777" w:rsidR="00677C31" w:rsidRPr="00DD04D5" w:rsidRDefault="00677C31" w:rsidP="00677C31">
                                <w:pPr>
                                  <w:jc w:val="center"/>
                                  <w:rPr>
                                    <w:rFonts w:cs="Calibri"/>
                                    <w:color w:val="FFFFFF" w:themeColor="background1"/>
                                    <w:kern w:val="24"/>
                                    <w:sz w:val="16"/>
                                    <w:szCs w:val="16"/>
                                    <w:lang w:val="en-GB"/>
                                  </w:rPr>
                                </w:pPr>
                                <w:r w:rsidRPr="00DD04D5">
                                  <w:rPr>
                                    <w:rFonts w:cs="Calibri"/>
                                    <w:color w:val="FFFFFF" w:themeColor="background1"/>
                                    <w:kern w:val="24"/>
                                    <w:sz w:val="16"/>
                                    <w:szCs w:val="16"/>
                                    <w:lang w:val="en-GB"/>
                                  </w:rPr>
                                  <w:t>#1A Sustainable</w:t>
                                </w:r>
                              </w:p>
                            </w:txbxContent>
                          </wps:txbx>
                          <wps:bodyPr rtlCol="0" anchor="ctr"/>
                        </wps:wsp>
                        <wps:wsp>
                          <wps:cNvPr id="1159" name="Rectangle 1159"/>
                          <wps:cNvSpPr/>
                          <wps:spPr>
                            <a:xfrm>
                              <a:off x="3780416" y="935786"/>
                              <a:ext cx="1297683" cy="561574"/>
                            </a:xfrm>
                            <a:prstGeom prst="rect">
                              <a:avLst/>
                            </a:prstGeom>
                            <a:solidFill>
                              <a:srgbClr val="70AD47">
                                <a:lumMod val="20000"/>
                                <a:lumOff val="80000"/>
                              </a:srgbClr>
                            </a:solidFill>
                            <a:ln w="12700" cap="flat" cmpd="sng" algn="ctr">
                              <a:solidFill>
                                <a:srgbClr val="70AD47">
                                  <a:lumMod val="60000"/>
                                  <a:lumOff val="40000"/>
                                </a:srgbClr>
                              </a:solidFill>
                              <a:prstDash val="solid"/>
                              <a:miter lim="800000"/>
                            </a:ln>
                            <a:effectLst/>
                          </wps:spPr>
                          <wps:txbx>
                            <w:txbxContent>
                              <w:p w14:paraId="69F71464" w14:textId="49881B94" w:rsidR="00677C31" w:rsidRPr="00DD04D5" w:rsidRDefault="00C86916" w:rsidP="00677C31">
                                <w:pPr>
                                  <w:jc w:val="center"/>
                                  <w:rPr>
                                    <w:rFonts w:cs="Calibri"/>
                                    <w:color w:val="000000" w:themeColor="text1"/>
                                    <w:kern w:val="24"/>
                                    <w:sz w:val="16"/>
                                    <w:szCs w:val="16"/>
                                    <w:lang w:val="en-GB"/>
                                  </w:rPr>
                                </w:pPr>
                                <w:r>
                                  <w:rPr>
                                    <w:rFonts w:cs="Calibri"/>
                                    <w:color w:val="000000" w:themeColor="text1"/>
                                    <w:kern w:val="24"/>
                                    <w:sz w:val="16"/>
                                    <w:szCs w:val="16"/>
                                    <w:lang w:val="en-GB"/>
                                  </w:rPr>
                                  <w:t>75</w:t>
                                </w:r>
                                <w:r w:rsidR="00677C31" w:rsidRPr="00DD04D5">
                                  <w:rPr>
                                    <w:rFonts w:cs="Calibri"/>
                                    <w:color w:val="000000" w:themeColor="text1"/>
                                    <w:kern w:val="24"/>
                                    <w:sz w:val="16"/>
                                    <w:szCs w:val="16"/>
                                    <w:lang w:val="en-GB"/>
                                  </w:rPr>
                                  <w:t>%</w:t>
                                </w:r>
                              </w:p>
                              <w:p w14:paraId="46D642C7"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#1B Other E/S characteristics</w:t>
                                </w:r>
                              </w:p>
                            </w:txbxContent>
                          </wps:txbx>
                          <wps:bodyPr rtlCol="0" anchor="ctr"/>
                        </wps:wsp>
                        <wps:wsp>
                          <wps:cNvPr id="1160" name="Rectangle 1160"/>
                          <wps:cNvSpPr/>
                          <wps:spPr>
                            <a:xfrm>
                              <a:off x="5366045" y="109133"/>
                              <a:ext cx="1387904" cy="497619"/>
                            </a:xfrm>
                            <a:prstGeom prst="rect">
                              <a:avLst/>
                            </a:prstGeom>
                            <a:solidFill>
                              <a:srgbClr val="70AD47">
                                <a:lumMod val="50000"/>
                              </a:srgbClr>
                            </a:solidFill>
                            <a:ln w="12700" cap="flat" cmpd="sng" algn="ctr">
                              <a:solidFill>
                                <a:srgbClr val="70AD47">
                                  <a:lumMod val="50000"/>
                                </a:srgbClr>
                              </a:solidFill>
                              <a:prstDash val="solid"/>
                              <a:miter lim="800000"/>
                            </a:ln>
                            <a:effectLst/>
                          </wps:spPr>
                          <wps:txbx>
                            <w:txbxContent>
                              <w:p w14:paraId="24CCAF33" w14:textId="3EF60706" w:rsidR="00677C31" w:rsidRPr="00DD04D5" w:rsidRDefault="00720550" w:rsidP="00677C31">
                                <w:pPr>
                                  <w:jc w:val="center"/>
                                  <w:rPr>
                                    <w:rFonts w:cs="Calibri"/>
                                    <w:color w:val="FFFFFF" w:themeColor="background1"/>
                                    <w:kern w:val="24"/>
                                    <w:sz w:val="16"/>
                                    <w:szCs w:val="16"/>
                                    <w:lang w:val="en-GB"/>
                                  </w:rPr>
                                </w:pPr>
                                <w:r>
                                  <w:rPr>
                                    <w:rFonts w:cs="Calibri"/>
                                    <w:color w:val="FFFFFF" w:themeColor="background1"/>
                                    <w:kern w:val="24"/>
                                    <w:sz w:val="16"/>
                                    <w:szCs w:val="16"/>
                                    <w:lang w:val="en-GB"/>
                                  </w:rPr>
                                  <w:t>0</w:t>
                                </w:r>
                                <w:r w:rsidR="00677C31" w:rsidRPr="00DD04D5">
                                  <w:rPr>
                                    <w:rFonts w:cs="Calibri"/>
                                    <w:color w:val="FFFFFF" w:themeColor="background1"/>
                                    <w:kern w:val="24"/>
                                    <w:sz w:val="16"/>
                                    <w:szCs w:val="16"/>
                                    <w:lang w:val="en-GB"/>
                                  </w:rPr>
                                  <w:t>%</w:t>
                                </w:r>
                              </w:p>
                              <w:p w14:paraId="5B6A0860" w14:textId="77777777" w:rsidR="00677C31" w:rsidRPr="00DD04D5" w:rsidRDefault="00677C31" w:rsidP="00677C31">
                                <w:pPr>
                                  <w:jc w:val="center"/>
                                  <w:rPr>
                                    <w:rFonts w:cs="Calibri"/>
                                    <w:color w:val="FFFFFF" w:themeColor="background1"/>
                                    <w:kern w:val="24"/>
                                    <w:sz w:val="16"/>
                                    <w:szCs w:val="16"/>
                                    <w:lang w:val="en-GB"/>
                                  </w:rPr>
                                </w:pPr>
                                <w:r w:rsidRPr="00DD04D5">
                                  <w:rPr>
                                    <w:rFonts w:cs="Calibri"/>
                                    <w:color w:val="FFFFFF" w:themeColor="background1"/>
                                    <w:kern w:val="24"/>
                                    <w:sz w:val="16"/>
                                    <w:szCs w:val="16"/>
                                    <w:lang w:val="en-GB"/>
                                  </w:rPr>
                                  <w:t>Taxonomy-aligned</w:t>
                                </w:r>
                              </w:p>
                            </w:txbxContent>
                          </wps:txbx>
                          <wps:bodyPr rtlCol="0" anchor="ctr"/>
                        </wps:wsp>
                        <wps:wsp>
                          <wps:cNvPr id="1161" name="Rectangle 1161"/>
                          <wps:cNvSpPr/>
                          <wps:spPr>
                            <a:xfrm>
                              <a:off x="5366056" y="728997"/>
                              <a:ext cx="1387906" cy="473126"/>
                            </a:xfrm>
                            <a:prstGeom prst="rect">
                              <a:avLst/>
                            </a:prstGeom>
                            <a:solidFill>
                              <a:srgbClr val="70AD47"/>
                            </a:solidFill>
                            <a:ln w="12700" cap="flat" cmpd="sng" algn="ctr">
                              <a:solidFill>
                                <a:srgbClr val="70AD47">
                                  <a:lumMod val="75000"/>
                                </a:srgbClr>
                              </a:solidFill>
                              <a:prstDash val="solid"/>
                              <a:miter lim="800000"/>
                            </a:ln>
                            <a:effectLst/>
                          </wps:spPr>
                          <wps:txbx>
                            <w:txbxContent>
                              <w:p w14:paraId="0DD02458" w14:textId="7F783DE7"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0</w:t>
                                </w:r>
                                <w:r w:rsidR="00677C31" w:rsidRPr="00DD04D5">
                                  <w:rPr>
                                    <w:rFonts w:cs="Calibri"/>
                                    <w:color w:val="000000" w:themeColor="text1"/>
                                    <w:kern w:val="24"/>
                                    <w:sz w:val="16"/>
                                    <w:szCs w:val="16"/>
                                    <w:lang w:val="en-GB"/>
                                  </w:rPr>
                                  <w:t>%</w:t>
                                </w:r>
                              </w:p>
                              <w:p w14:paraId="050EF2CE"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Other environmental</w:t>
                                </w:r>
                              </w:p>
                            </w:txbxContent>
                          </wps:txbx>
                          <wps:bodyPr rtlCol="0" anchor="ctr"/>
                        </wps:wsp>
                        <wps:wsp>
                          <wps:cNvPr id="1162" name="Rectangle 1162"/>
                          <wps:cNvSpPr/>
                          <wps:spPr>
                            <a:xfrm>
                              <a:off x="5366054" y="1348859"/>
                              <a:ext cx="1387906" cy="487808"/>
                            </a:xfrm>
                            <a:prstGeom prst="rect">
                              <a:avLst/>
                            </a:prstGeom>
                            <a:solidFill>
                              <a:srgbClr val="5B9BD5"/>
                            </a:solidFill>
                            <a:ln w="12700" cap="flat" cmpd="sng" algn="ctr">
                              <a:solidFill>
                                <a:srgbClr val="5B9BD5">
                                  <a:lumMod val="75000"/>
                                </a:srgbClr>
                              </a:solidFill>
                              <a:prstDash val="solid"/>
                              <a:miter lim="800000"/>
                            </a:ln>
                            <a:effectLst/>
                          </wps:spPr>
                          <wps:txbx>
                            <w:txbxContent>
                              <w:p w14:paraId="29856A1B" w14:textId="42EBC71F"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0</w:t>
                                </w:r>
                                <w:r w:rsidR="00677C31" w:rsidRPr="00DD04D5">
                                  <w:rPr>
                                    <w:rFonts w:cs="Calibri"/>
                                    <w:color w:val="000000" w:themeColor="text1"/>
                                    <w:kern w:val="24"/>
                                    <w:sz w:val="16"/>
                                    <w:szCs w:val="16"/>
                                    <w:lang w:val="en-GB"/>
                                  </w:rPr>
                                  <w:t>%</w:t>
                                </w:r>
                              </w:p>
                              <w:p w14:paraId="7E445A28"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Social</w:t>
                                </w:r>
                              </w:p>
                            </w:txbxContent>
                          </wps:txbx>
                          <wps:bodyPr rtlCol="0" anchor="ctr"/>
                        </wps:wsp>
                        <wps:wsp>
                          <wps:cNvPr id="1163" name="Connector: Elbow 1163"/>
                          <wps:cNvCnPr>
                            <a:cxnSpLocks/>
                          </wps:cNvCnPr>
                          <wps:spPr>
                            <a:xfrm flipV="1">
                              <a:off x="3493175" y="522491"/>
                              <a:ext cx="287683" cy="206667"/>
                            </a:xfrm>
                            <a:prstGeom prst="bentConnector3">
                              <a:avLst>
                                <a:gd name="adj1" fmla="val 50000"/>
                              </a:avLst>
                            </a:prstGeom>
                            <a:noFill/>
                            <a:ln w="6350" cap="flat" cmpd="sng" algn="ctr">
                              <a:solidFill>
                                <a:sysClr val="windowText" lastClr="000000">
                                  <a:lumMod val="50000"/>
                                  <a:lumOff val="50000"/>
                                </a:sysClr>
                              </a:solidFill>
                              <a:prstDash val="solid"/>
                              <a:miter lim="800000"/>
                            </a:ln>
                            <a:effectLst/>
                          </wps:spPr>
                          <wps:bodyPr/>
                        </wps:wsp>
                        <wps:wsp>
                          <wps:cNvPr id="1164" name="Connector: Elbow 1164"/>
                          <wps:cNvCnPr>
                            <a:cxnSpLocks/>
                          </wps:cNvCnPr>
                          <wps:spPr>
                            <a:xfrm flipV="1">
                              <a:off x="5078540" y="315825"/>
                              <a:ext cx="287683" cy="206665"/>
                            </a:xfrm>
                            <a:prstGeom prst="bentConnector3">
                              <a:avLst>
                                <a:gd name="adj1" fmla="val 50000"/>
                              </a:avLst>
                            </a:prstGeom>
                            <a:noFill/>
                            <a:ln w="6350" cap="flat" cmpd="sng" algn="ctr">
                              <a:solidFill>
                                <a:sysClr val="windowText" lastClr="000000">
                                  <a:lumMod val="50000"/>
                                  <a:lumOff val="50000"/>
                                </a:sysClr>
                              </a:solidFill>
                              <a:prstDash val="solid"/>
                              <a:miter lim="800000"/>
                            </a:ln>
                            <a:effectLst/>
                          </wps:spPr>
                          <wps:bodyPr/>
                        </wps:wsp>
                        <wps:wsp>
                          <wps:cNvPr id="1165" name="Connector: Elbow 1165"/>
                          <wps:cNvCnPr>
                            <a:cxnSpLocks/>
                          </wps:cNvCnPr>
                          <wps:spPr>
                            <a:xfrm>
                              <a:off x="3493175" y="729158"/>
                              <a:ext cx="287684" cy="413333"/>
                            </a:xfrm>
                            <a:prstGeom prst="bentConnector3">
                              <a:avLst>
                                <a:gd name="adj1" fmla="val 50000"/>
                              </a:avLst>
                            </a:prstGeom>
                            <a:noFill/>
                            <a:ln w="6350" cap="flat" cmpd="sng" algn="ctr">
                              <a:solidFill>
                                <a:sysClr val="windowText" lastClr="000000">
                                  <a:lumMod val="50000"/>
                                  <a:lumOff val="50000"/>
                                </a:sysClr>
                              </a:solidFill>
                              <a:prstDash val="solid"/>
                              <a:miter lim="800000"/>
                            </a:ln>
                            <a:effectLst/>
                          </wps:spPr>
                          <wps:bodyPr/>
                        </wps:wsp>
                        <wps:wsp>
                          <wps:cNvPr id="1166" name="Connector: Elbow 1166"/>
                          <wps:cNvCnPr>
                            <a:cxnSpLocks/>
                          </wps:cNvCnPr>
                          <wps:spPr>
                            <a:xfrm>
                              <a:off x="5078540" y="522491"/>
                              <a:ext cx="287684" cy="413335"/>
                            </a:xfrm>
                            <a:prstGeom prst="bentConnector3">
                              <a:avLst>
                                <a:gd name="adj1" fmla="val 50000"/>
                              </a:avLst>
                            </a:prstGeom>
                            <a:noFill/>
                            <a:ln w="6350" cap="flat" cmpd="sng" algn="ctr">
                              <a:solidFill>
                                <a:sysClr val="windowText" lastClr="000000">
                                  <a:lumMod val="50000"/>
                                  <a:lumOff val="50000"/>
                                </a:sysClr>
                              </a:solidFill>
                              <a:prstDash val="solid"/>
                              <a:miter lim="800000"/>
                            </a:ln>
                            <a:effectLst/>
                          </wps:spPr>
                          <wps:bodyPr/>
                        </wps:wsp>
                        <wps:wsp>
                          <wps:cNvPr id="1167" name="Connector: Elbow 1167"/>
                          <wps:cNvCnPr>
                            <a:cxnSpLocks/>
                          </wps:cNvCnPr>
                          <wps:spPr>
                            <a:xfrm>
                              <a:off x="5078540" y="522491"/>
                              <a:ext cx="287681" cy="1033333"/>
                            </a:xfrm>
                            <a:prstGeom prst="bentConnector3">
                              <a:avLst>
                                <a:gd name="adj1" fmla="val 50000"/>
                              </a:avLst>
                            </a:prstGeom>
                            <a:noFill/>
                            <a:ln w="6350" cap="flat" cmpd="sng" algn="ctr">
                              <a:solidFill>
                                <a:sysClr val="windowText" lastClr="000000">
                                  <a:lumMod val="50000"/>
                                  <a:lumOff val="50000"/>
                                </a:sysClr>
                              </a:solidFill>
                              <a:prstDash val="solid"/>
                              <a:miter lim="800000"/>
                            </a:ln>
                            <a:effectLst/>
                          </wps:spPr>
                          <wps:bodyPr/>
                        </wps:wsp>
                      </wpg:grpSp>
                    </wpg:wgp>
                  </a:graphicData>
                </a:graphic>
              </wp:inline>
            </w:drawing>
          </mc:Choice>
          <mc:Fallback>
            <w:pict>
              <v:group w14:anchorId="0367080B" id="Group 37" o:spid="_x0000_s1026" style="width:427.5pt;height:284.55pt;mso-position-horizontal-relative:char;mso-position-vertical-relative:line" coordorigin="2218" coordsize="69273,3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yOTQcAABMvAAAOAAAAZHJzL2Uyb0RvYy54bWzsmltv2zYUx98H7DsIem8t6i6jTpEmaTFg&#10;l2Lt9i5Lsq1NEjVKqZ19+p1zKNKyY7V2EjtGlw1IrRvFQ/74PxfqzdtVWRhfMtHkvJqY7LVlGlmV&#10;8DSv5hPzj8/vX4Wm0bRxlcYFr7KJeZc15tuLH394s6zHmc0XvEgzYUAjVTNe1hNz0bb1eDRqkkVW&#10;xs1rXmcVXJxxUcYtHIr5KBXxElovi5FtWf5oyUVaC55kTQNnr+VF84Lan82ypP1tNmuy1igmJvSt&#10;pb+C/k7x7+jiTTyei7he5EnXjfgBvSjjvIKX6qau4zY2bkV+r6kyTwRv+Kx9nfByxGezPMnIBrCG&#10;WVvWfBD8tiZb5uPlvNbDBEO7NU4Pbjb59csHUX+qPwoYiWU9h7GgI7RlNRMl/gu9NFY0ZHd6yLJV&#10;ayRw0nPtyPZgZBO45vjMCaxIDmqygJHH52ybhZFvGnDDK6au3XTP+5EdOMzrnndCz/Y8vGekXj/a&#10;6JQ+kJ2F3n8URp7CSyLTqOISCKNBM+C4M+gAC3f0VNk51M94fCQ7YTk06xlvHjfjnxZxnRFIzXg9&#10;Zg5Mmxyz32GdxNW8yAw4R+NG9yEWCEBT/8yTvxuj4lcLuC27FIIvF1mcQrdoRmGSeg/gQQOPGtPl&#10;LzyFKYlvW06rY4uog8bbkW9SXMTjWjTth4yXBv6YmAJsoJfEX35uWomQuoWM4EWevs+Lgg7EfHpV&#10;CONLDLrw/vImug466pr+bUWFN1ccH5Mt4hmyFg1ECJvxlKd3YKzgUlxADOHHgot/TWMJwjIxm39u&#10;Y5GZRvFTBQMWMddFJaID1wtsOBD9K9P+lbhKoKmJ2ZqG/HnVSvW6rUU+X8CbGBld8UsY5FlOhq97&#10;1XUWUJJ9PT5TTDH1GZfOO74yWLcUNSFGu4LzqucngIuFjh95nfbsXNHMc0PHcjaU52DCNCfxeC9w&#10;2tV01S22AxkCaCzNkOYHfkh24McTcrNW4J6H2NZfxjxbzbxUYDpD5s1Rc/b1Mj6zmA3+ALwFsyLm&#10;0JzEYz1rzHVCJ5D+ggV24DkuzlpPhwdaSBY3yucMtDHoc06gxTBajhq/tRrT2Q4RGEPtpqW+otVb&#10;itqzPfRt19pintlR4IfwIvTWLgyuHF5t+MHIb6hl0xfVSw//3y2qxhIm1w4Q4QQFclbEoG9JWacg&#10;ltUc6C3mEE0mrSBt++ZLSNEXcZpJPfdgcZAbA7u6PlFAsdEOuobruFnIR+iS5KjMW4hIi7ycmCE2&#10;pFqSSzqjmLJzMMrRSW3F5UyxCA36WoMN0RZXXMafalmiaTCv5ElOJ86Ak7sTMlpC2OO9ILMZiGkE&#10;FAFEnm27QC6tQLVGNyjzfNt2FAeKVuWXH+26A+vy2g2IkuK2hGhDTqev5g2U+LbEOJQcvatOfw2M&#10;onoyPLve4UQDif3A4oj02TgZZ0of6Pp2wAlMEh0H0edG4GzQQ9iW7aiEYyd+LyJ3JJGjNX+mmEGy&#10;KTG74lUFaQEXY+OmmPKlAbT5an2A1l1VMsFJVtUnmeMoUdYX0UQZ699ztiyygtCCAgfFKn5k+ZRE&#10;rIMVOwRvC4pLubETRUz5kgEdnGZVq7vskKoNJDMboSbqle9QEn6wN71rdBoEVZWULzFsh1Qlblq4&#10;AOk+/XdPYLWL3RRYfRr1jpo+hfTJ4FnN3EndKQSiw6QRDZ2uPYA0Y1bk9Z8qTeqKMH3mAjtiXrjp&#10;e7eRk+II03EgchhSzdPOuDj9C9K6WVlAaQwcqdGfZgKUZlk5dXz0hc9ONNYK+Sx8gjjtcLjETAfm&#10;t3MKB0UOZBNlDkp1QUD+eq1yzIGKBkifTCpc2/dJYoeZe3ilZiDcCxBIXAcoOzIJua87Tx/XIej9&#10;qLO/LAa7ccTIT0fxqppwRnmHLs9uJLfblSGYwq/4WwTRZRLEyPGCkDjrgdjPbj0fUKUROSGIWJYh&#10;EDfdIuWRz8/nY7KiI2Krw//zw9aHCsV9/YSzHah7pcue4/uWO1zSYk4YRFYXJrpQoJEF0xNiu5dw&#10;ff/6qTODMwRRl9X7+unrStP+IHaOPLDDKNpKVySIoK9UHYRtOfvYjrxz2f3KyPEx2ytaOKLe6bTg&#10;DDHTNfwNzHRJ6QDMQM8wLXbcMPS6HWFdoCHBU5yFlENLEgaSlIcHjN676N21qj5uVOCekLPuJdvh&#10;4HNzpqP8M+RM73Xocse6QuPr0pIuwsDuzv4Vmp15s+NGDoPMBaHEmnW0tTNCeXO3MWJbkMLQKh32&#10;wUOlmpe8+ek2VCS3qAyYFJyyruODeg3WdeDiOvx7qrqOB6VED78LkEl2CFug8JJ1bnOPTyVqA5L5&#10;wifWAvqBxdN79GfkU2+k7NJPnVA9TD8Ru67a2FfNb1Ub99lpeaHyu6YSQrph1dTZ1aOp7GvloC9X&#10;+TR+5PCilb1N8I1k/3+wR4OV6WEqdTJ2Giohjcfkmln46Q3FuS8hpgwYzwbL/udu9Bu+vKbdhO4r&#10;cfy0u39M4en6W/aL/wAAAP//AwBQSwMEFAAGAAgAAAAhADcvRCncAAAABQEAAA8AAABkcnMvZG93&#10;bnJldi54bWxMj0FLw0AQhe+C/2EZwZvdRElpYzalFPVUBFtBepsm0yQ0Oxuy2yT9945e9PLg8Yb3&#10;vslWk23VQL1vHBuIZxEo4sKVDVcGPvevDwtQPiCX2DomA1fysMpvbzJMSzfyBw27UCkpYZ+igTqE&#10;LtXaFzVZ9DPXEUt2cr3FILavdNnjKOW21Y9RNNcWG5aFGjva1FScdxdr4G3Ecf0Uvwzb82lzPeyT&#10;969tTMbc303rZ1CBpvB3DD/4gg65MB3dhUuvWgPySPhVyRZJIvZoIJkvY9B5pv/T598AAAD//wMA&#10;UEsBAi0AFAAGAAgAAAAhALaDOJL+AAAA4QEAABMAAAAAAAAAAAAAAAAAAAAAAFtDb250ZW50X1R5&#10;cGVzXS54bWxQSwECLQAUAAYACAAAACEAOP0h/9YAAACUAQAACwAAAAAAAAAAAAAAAAAvAQAAX3Jl&#10;bHMvLnJlbHNQSwECLQAUAAYACAAAACEATpwsjk0HAAATLwAADgAAAAAAAAAAAAAAAAAuAgAAZHJz&#10;L2Uyb0RvYy54bWxQSwECLQAUAAYACAAAACEANy9EKdwAAAAFAQAADwAAAAAAAAAAAAAAAACnCQAA&#10;ZHJzL2Rvd25yZXYueG1sUEsFBgAAAAAEAAQA8wAAALAKAAAAAA==&#10;">
                <v:group id="Group 29" o:spid="_x0000_s1027" style="position:absolute;left:2218;width:69274;height:33852" coordorigin="2218" coordsize="69273,3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28" style="position:absolute;left:2218;width:69274;height:3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AiOwAAAANsAAAAPAAAAZHJzL2Rvd25yZXYueG1sRE/NisIw&#10;EL4L+w5hFvYimqooUo2yKivize4+wNCMbdhmUpto27c3B8Hjx/e/3na2Eg9qvHGsYDJOQBDnThsu&#10;FPz9/oyWIHxA1lg5JgU9edhuPgZrTLVr+UKPLBQihrBPUUEZQp1K6fOSLPqxq4kjd3WNxRBhU0jd&#10;YBvDbSWnSbKQFg3HhhJr2peU/2d3q+BozrsdynY6PPS34bm7muV80iv19dl9r0AE6sJb/HKftIJZ&#10;XB+/xB8gN08AAAD//wMAUEsBAi0AFAAGAAgAAAAhANvh9svuAAAAhQEAABMAAAAAAAAAAAAAAAAA&#10;AAAAAFtDb250ZW50X1R5cGVzXS54bWxQSwECLQAUAAYACAAAACEAWvQsW78AAAAVAQAACwAAAAAA&#10;AAAAAAAAAAAfAQAAX3JlbHMvLnJlbHNQSwECLQAUAAYACAAAACEA9iAIjsAAAADbAAAADwAAAAAA&#10;AAAAAAAAAAAHAgAAZHJzL2Rvd25yZXYueG1sUEsFBgAAAAADAAMAtwAAAPQCAAAAAA==&#10;" fillcolor="#fae9d7" stroked="f"/>
                  <v:shapetype id="_x0000_t202" coordsize="21600,21600" o:spt="202" path="m,l,21600r21600,l21600,xe">
                    <v:stroke joinstyle="miter"/>
                    <v:path gradientshapeok="t" o:connecttype="rect"/>
                  </v:shapetype>
                  <v:shape id="Text Box 19" o:spid="_x0000_s1029" type="#_x0000_t202" style="position:absolute;left:2218;top:18369;width:69274;height:15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NFxQAAANsAAAAPAAAAZHJzL2Rvd25yZXYueG1sRI/RasJA&#10;FETfC/7Dcgu+FN1ERUvqKqItikhprR9wyd5mg9m7IbvG2K/vCoU+DjNzhpkvO1uJlhpfOlaQDhMQ&#10;xLnTJRcKTl9vg2cQPiBrrByTght5WC56D3PMtLvyJ7XHUIgIYZ+hAhNCnUnpc0MW/dDVxNH7do3F&#10;EGVTSN3gNcJtJUdJMpUWS44LBmtaG8rPx4tVIPH8Md5v32cTczi1Zv+0Gb2mP0r1H7vVC4hAXfgP&#10;/7V3WsE4hfuX+APk4hcAAP//AwBQSwECLQAUAAYACAAAACEA2+H2y+4AAACFAQAAEwAAAAAAAAAA&#10;AAAAAAAAAAAAW0NvbnRlbnRfVHlwZXNdLnhtbFBLAQItABQABgAIAAAAIQBa9CxbvwAAABUBAAAL&#10;AAAAAAAAAAAAAAAAAB8BAABfcmVscy8ucmVsc1BLAQItABQABgAIAAAAIQC8deNFxQAAANsAAAAP&#10;AAAAAAAAAAAAAAAAAAcCAABkcnMvZG93bnJldi54bWxQSwUGAAAAAAMAAwC3AAAA+QIAAAAA&#10;" filled="f" stroked="f">
                    <v:textbox inset="2mm,0,0,0">
                      <w:txbxContent>
                        <w:p w14:paraId="7808B212" w14:textId="34FF0728" w:rsidR="00677C31" w:rsidRPr="00E86AE8" w:rsidRDefault="00677C31" w:rsidP="00677C31">
                          <w:pPr>
                            <w:spacing w:after="60"/>
                            <w:rPr>
                              <w:rFonts w:eastAsia="Calibri"/>
                              <w:color w:val="C00000"/>
                              <w:kern w:val="24"/>
                              <w:sz w:val="18"/>
                              <w:szCs w:val="18"/>
                              <w:lang w:val="en-US"/>
                            </w:rPr>
                          </w:pPr>
                          <w:r w:rsidRPr="00E86AE8">
                            <w:rPr>
                              <w:rFonts w:eastAsia="Calibri"/>
                              <w:i/>
                              <w:iCs/>
                              <w:color w:val="C00000"/>
                              <w:kern w:val="24"/>
                              <w:sz w:val="18"/>
                              <w:szCs w:val="18"/>
                              <w:lang w:val="en-US"/>
                            </w:rPr>
                            <w:t> </w:t>
                          </w:r>
                          <w:r w:rsidRPr="00E86AE8">
                            <w:rPr>
                              <w:rFonts w:eastAsia="Calibri"/>
                              <w:b/>
                              <w:bCs/>
                              <w:color w:val="000000" w:themeColor="text1"/>
                              <w:kern w:val="24"/>
                              <w:sz w:val="18"/>
                              <w:szCs w:val="18"/>
                              <w:lang w:val="en-US"/>
                            </w:rPr>
                            <w:t>#1</w:t>
                          </w:r>
                          <w:r w:rsidRPr="00E86AE8">
                            <w:rPr>
                              <w:rFonts w:eastAsia="Calibri"/>
                              <w:b/>
                              <w:bCs/>
                              <w:color w:val="000000" w:themeColor="text1"/>
                              <w:spacing w:val="-3"/>
                              <w:kern w:val="24"/>
                              <w:sz w:val="18"/>
                              <w:szCs w:val="18"/>
                              <w:lang w:val="en-US"/>
                            </w:rPr>
                            <w:t xml:space="preserve"> </w:t>
                          </w:r>
                          <w:r w:rsidRPr="00E86AE8">
                            <w:rPr>
                              <w:rFonts w:eastAsia="Calibri"/>
                              <w:b/>
                              <w:bCs/>
                              <w:color w:val="000000" w:themeColor="text1"/>
                              <w:kern w:val="24"/>
                              <w:sz w:val="18"/>
                              <w:szCs w:val="18"/>
                              <w:lang w:val="en-US"/>
                            </w:rPr>
                            <w:t>Aligned</w:t>
                          </w:r>
                          <w:r w:rsidRPr="00E86AE8">
                            <w:rPr>
                              <w:rFonts w:eastAsia="Calibri"/>
                              <w:b/>
                              <w:bCs/>
                              <w:color w:val="000000" w:themeColor="text1"/>
                              <w:spacing w:val="-3"/>
                              <w:kern w:val="24"/>
                              <w:sz w:val="18"/>
                              <w:szCs w:val="18"/>
                              <w:lang w:val="en-US"/>
                            </w:rPr>
                            <w:t xml:space="preserve"> </w:t>
                          </w:r>
                          <w:r w:rsidRPr="00E86AE8">
                            <w:rPr>
                              <w:rFonts w:eastAsia="Calibri"/>
                              <w:b/>
                              <w:bCs/>
                              <w:color w:val="000000" w:themeColor="text1"/>
                              <w:kern w:val="24"/>
                              <w:sz w:val="18"/>
                              <w:szCs w:val="18"/>
                              <w:lang w:val="en-US"/>
                            </w:rPr>
                            <w:t>with</w:t>
                          </w:r>
                          <w:r w:rsidRPr="00E86AE8">
                            <w:rPr>
                              <w:rFonts w:eastAsia="Calibri"/>
                              <w:b/>
                              <w:bCs/>
                              <w:color w:val="000000" w:themeColor="text1"/>
                              <w:spacing w:val="-3"/>
                              <w:kern w:val="24"/>
                              <w:sz w:val="18"/>
                              <w:szCs w:val="18"/>
                              <w:lang w:val="en-US"/>
                            </w:rPr>
                            <w:t xml:space="preserve"> </w:t>
                          </w:r>
                          <w:r w:rsidRPr="00E86AE8">
                            <w:rPr>
                              <w:rFonts w:eastAsia="Calibri"/>
                              <w:b/>
                              <w:bCs/>
                              <w:color w:val="000000" w:themeColor="text1"/>
                              <w:kern w:val="24"/>
                              <w:sz w:val="18"/>
                              <w:szCs w:val="18"/>
                              <w:lang w:val="en-US"/>
                            </w:rPr>
                            <w:t>E/S</w:t>
                          </w:r>
                          <w:r w:rsidRPr="00E86AE8">
                            <w:rPr>
                              <w:rFonts w:eastAsia="Calibri"/>
                              <w:b/>
                              <w:bCs/>
                              <w:color w:val="000000" w:themeColor="text1"/>
                              <w:spacing w:val="-1"/>
                              <w:kern w:val="24"/>
                              <w:sz w:val="18"/>
                              <w:szCs w:val="18"/>
                              <w:lang w:val="en-US"/>
                            </w:rPr>
                            <w:t xml:space="preserve"> </w:t>
                          </w:r>
                          <w:r w:rsidRPr="00E86AE8">
                            <w:rPr>
                              <w:rFonts w:eastAsia="Calibri"/>
                              <w:b/>
                              <w:bCs/>
                              <w:color w:val="000000" w:themeColor="text1"/>
                              <w:kern w:val="24"/>
                              <w:sz w:val="18"/>
                              <w:szCs w:val="18"/>
                              <w:lang w:val="en-US"/>
                            </w:rPr>
                            <w:t>characteristics</w:t>
                          </w:r>
                          <w:r w:rsidRPr="00E86AE8">
                            <w:rPr>
                              <w:rFonts w:eastAsia="Calibri"/>
                              <w:b/>
                              <w:bCs/>
                              <w:color w:val="000000" w:themeColor="text1"/>
                              <w:spacing w:val="-2"/>
                              <w:kern w:val="24"/>
                              <w:sz w:val="18"/>
                              <w:szCs w:val="18"/>
                              <w:lang w:val="en-US"/>
                            </w:rPr>
                            <w:t xml:space="preserve"> </w:t>
                          </w:r>
                          <w:r w:rsidRPr="00E86AE8">
                            <w:rPr>
                              <w:rFonts w:eastAsia="Calibri"/>
                              <w:color w:val="000000" w:themeColor="text1"/>
                              <w:kern w:val="24"/>
                              <w:sz w:val="18"/>
                              <w:szCs w:val="18"/>
                              <w:lang w:val="en-US"/>
                            </w:rPr>
                            <w:t>includes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investments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of</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financial</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product</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used</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to</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attain</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the</w:t>
                          </w:r>
                          <w:r w:rsidR="008223CD" w:rsidRPr="00E86AE8">
                            <w:rPr>
                              <w:rFonts w:eastAsia="Calibri"/>
                              <w:color w:val="000000" w:themeColor="text1"/>
                              <w:kern w:val="24"/>
                              <w:sz w:val="18"/>
                              <w:szCs w:val="18"/>
                              <w:lang w:val="en-US"/>
                            </w:rPr>
                            <w:t xml:space="preserve"> </w:t>
                          </w:r>
                          <w:r w:rsidRPr="00E86AE8">
                            <w:rPr>
                              <w:rFonts w:eastAsia="Calibri"/>
                              <w:color w:val="000000" w:themeColor="text1"/>
                              <w:kern w:val="24"/>
                              <w:sz w:val="18"/>
                              <w:szCs w:val="18"/>
                              <w:lang w:val="en-US"/>
                            </w:rPr>
                            <w:t>environmental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or</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social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characteristics</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promoted</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by</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financial</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product.</w:t>
                          </w:r>
                        </w:p>
                        <w:p w14:paraId="00A4619E" w14:textId="77777777" w:rsidR="00677C31" w:rsidRPr="00E86AE8" w:rsidRDefault="00677C31" w:rsidP="00677C31">
                          <w:pPr>
                            <w:spacing w:after="60"/>
                            <w:rPr>
                              <w:rFonts w:eastAsia="Calibri"/>
                              <w:b/>
                              <w:bCs/>
                              <w:color w:val="000000" w:themeColor="text1"/>
                              <w:kern w:val="24"/>
                              <w:sz w:val="18"/>
                              <w:szCs w:val="18"/>
                              <w:lang w:val="en-US"/>
                            </w:rPr>
                          </w:pPr>
                          <w:r w:rsidRPr="00E86AE8">
                            <w:rPr>
                              <w:rFonts w:eastAsia="Calibri"/>
                              <w:b/>
                              <w:bCs/>
                              <w:color w:val="000000" w:themeColor="text1"/>
                              <w:kern w:val="24"/>
                              <w:sz w:val="18"/>
                              <w:szCs w:val="18"/>
                              <w:lang w:val="en-US"/>
                            </w:rPr>
                            <w:t>#2 Other</w:t>
                          </w:r>
                          <w:r w:rsidRPr="00E86AE8">
                            <w:rPr>
                              <w:rFonts w:eastAsia="Calibri"/>
                              <w:b/>
                              <w:bCs/>
                              <w:color w:val="000000" w:themeColor="text1"/>
                              <w:spacing w:val="-3"/>
                              <w:kern w:val="24"/>
                              <w:sz w:val="18"/>
                              <w:szCs w:val="18"/>
                              <w:lang w:val="en-US"/>
                            </w:rPr>
                            <w:t xml:space="preserve"> </w:t>
                          </w:r>
                          <w:r w:rsidRPr="00E86AE8">
                            <w:rPr>
                              <w:rFonts w:eastAsia="Calibri"/>
                              <w:color w:val="000000" w:themeColor="text1"/>
                              <w:kern w:val="24"/>
                              <w:sz w:val="18"/>
                              <w:szCs w:val="18"/>
                              <w:lang w:val="en-US"/>
                            </w:rPr>
                            <w:t>includes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remaining</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investments</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of</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financial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product</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which</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are</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neither</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aligned</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with</w:t>
                          </w:r>
                          <w:r w:rsidRPr="00E86AE8">
                            <w:rPr>
                              <w:rFonts w:eastAsia="Calibri"/>
                              <w:color w:val="000000" w:themeColor="text1"/>
                              <w:spacing w:val="-3"/>
                              <w:kern w:val="24"/>
                              <w:sz w:val="18"/>
                              <w:szCs w:val="18"/>
                              <w:lang w:val="en-US"/>
                            </w:rPr>
                            <w:t xml:space="preserve"> </w:t>
                          </w:r>
                          <w:r w:rsidRPr="00E86AE8">
                            <w:rPr>
                              <w:rFonts w:eastAsia="Calibri"/>
                              <w:color w:val="000000" w:themeColor="text1"/>
                              <w:kern w:val="24"/>
                              <w:sz w:val="18"/>
                              <w:szCs w:val="18"/>
                              <w:lang w:val="en-US"/>
                            </w:rPr>
                            <w:t>the</w:t>
                          </w:r>
                          <w:r w:rsidRPr="00E86AE8">
                            <w:rPr>
                              <w:rFonts w:eastAsia="Calibri"/>
                              <w:color w:val="000000" w:themeColor="text1"/>
                              <w:spacing w:val="-38"/>
                              <w:kern w:val="24"/>
                              <w:sz w:val="18"/>
                              <w:szCs w:val="18"/>
                              <w:lang w:val="en-US"/>
                            </w:rPr>
                            <w:t xml:space="preserve"> </w:t>
                          </w:r>
                          <w:r w:rsidRPr="00E86AE8">
                            <w:rPr>
                              <w:rFonts w:eastAsia="Calibri"/>
                              <w:color w:val="000000" w:themeColor="text1"/>
                              <w:kern w:val="24"/>
                              <w:sz w:val="18"/>
                              <w:szCs w:val="18"/>
                              <w:lang w:val="en-US"/>
                            </w:rPr>
                            <w:t>environmental</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or</w:t>
                          </w:r>
                          <w:r w:rsidRPr="00E86AE8">
                            <w:rPr>
                              <w:rFonts w:eastAsia="Calibri"/>
                              <w:color w:val="000000" w:themeColor="text1"/>
                              <w:spacing w:val="-2"/>
                              <w:kern w:val="24"/>
                              <w:sz w:val="18"/>
                              <w:szCs w:val="18"/>
                              <w:lang w:val="en-US"/>
                            </w:rPr>
                            <w:t xml:space="preserve"> </w:t>
                          </w:r>
                          <w:r w:rsidRPr="00E86AE8">
                            <w:rPr>
                              <w:rFonts w:eastAsia="Calibri"/>
                              <w:color w:val="000000" w:themeColor="text1"/>
                              <w:kern w:val="24"/>
                              <w:sz w:val="18"/>
                              <w:szCs w:val="18"/>
                              <w:lang w:val="en-US"/>
                            </w:rPr>
                            <w:t>social</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characteristics,</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nor</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are qualified</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as sustainable</w:t>
                          </w:r>
                          <w:r w:rsidRPr="00E86AE8">
                            <w:rPr>
                              <w:rFonts w:eastAsia="Calibri"/>
                              <w:color w:val="000000" w:themeColor="text1"/>
                              <w:spacing w:val="-1"/>
                              <w:kern w:val="24"/>
                              <w:sz w:val="18"/>
                              <w:szCs w:val="18"/>
                              <w:lang w:val="en-US"/>
                            </w:rPr>
                            <w:t xml:space="preserve"> </w:t>
                          </w:r>
                          <w:r w:rsidRPr="00E86AE8">
                            <w:rPr>
                              <w:rFonts w:eastAsia="Calibri"/>
                              <w:color w:val="000000" w:themeColor="text1"/>
                              <w:kern w:val="24"/>
                              <w:sz w:val="18"/>
                              <w:szCs w:val="18"/>
                              <w:lang w:val="en-US"/>
                            </w:rPr>
                            <w:t>investments.</w:t>
                          </w:r>
                        </w:p>
                        <w:p w14:paraId="3D418E4A" w14:textId="77777777" w:rsidR="00677C31" w:rsidRDefault="00677C31" w:rsidP="00677C31">
                          <w:pPr>
                            <w:spacing w:after="60"/>
                            <w:rPr>
                              <w:rFonts w:eastAsia="Calibri"/>
                              <w:color w:val="000000" w:themeColor="text1"/>
                              <w:kern w:val="24"/>
                              <w:sz w:val="18"/>
                              <w:szCs w:val="18"/>
                              <w:lang w:val="en-GB"/>
                            </w:rPr>
                          </w:pPr>
                          <w:r>
                            <w:rPr>
                              <w:rFonts w:eastAsia="Calibri"/>
                              <w:color w:val="000000" w:themeColor="text1"/>
                              <w:kern w:val="24"/>
                              <w:sz w:val="18"/>
                              <w:szCs w:val="18"/>
                              <w:lang w:val="en-GB"/>
                            </w:rPr>
                            <w:t xml:space="preserve">The category </w:t>
                          </w:r>
                          <w:r>
                            <w:rPr>
                              <w:rFonts w:eastAsia="Calibri"/>
                              <w:b/>
                              <w:bCs/>
                              <w:color w:val="000000" w:themeColor="text1"/>
                              <w:kern w:val="24"/>
                              <w:sz w:val="18"/>
                              <w:szCs w:val="18"/>
                              <w:lang w:val="en-GB"/>
                            </w:rPr>
                            <w:t xml:space="preserve">#1 Aligned with E/S characteristics </w:t>
                          </w:r>
                          <w:r>
                            <w:rPr>
                              <w:rFonts w:eastAsia="Calibri"/>
                              <w:color w:val="000000" w:themeColor="text1"/>
                              <w:kern w:val="24"/>
                              <w:sz w:val="18"/>
                              <w:szCs w:val="18"/>
                              <w:lang w:val="en-GB"/>
                            </w:rPr>
                            <w:t>covers:</w:t>
                          </w:r>
                        </w:p>
                        <w:p w14:paraId="16FC86F3" w14:textId="77777777" w:rsidR="00677C31" w:rsidRDefault="00677C31" w:rsidP="00677C31">
                          <w:pPr>
                            <w:spacing w:after="60"/>
                            <w:rPr>
                              <w:rFonts w:eastAsia="Calibri"/>
                              <w:color w:val="000000" w:themeColor="text1"/>
                              <w:kern w:val="24"/>
                              <w:sz w:val="18"/>
                              <w:szCs w:val="18"/>
                              <w:lang w:val="en-GB"/>
                            </w:rPr>
                          </w:pPr>
                          <w:r>
                            <w:rPr>
                              <w:rFonts w:eastAsia="Calibri"/>
                              <w:color w:val="000000" w:themeColor="text1"/>
                              <w:kern w:val="24"/>
                              <w:sz w:val="18"/>
                              <w:szCs w:val="18"/>
                              <w:lang w:val="en-GB"/>
                            </w:rPr>
                            <w:t xml:space="preserve">- The sub-category </w:t>
                          </w:r>
                          <w:r>
                            <w:rPr>
                              <w:rFonts w:eastAsia="Calibri"/>
                              <w:b/>
                              <w:bCs/>
                              <w:color w:val="000000" w:themeColor="text1"/>
                              <w:kern w:val="24"/>
                              <w:sz w:val="18"/>
                              <w:szCs w:val="18"/>
                              <w:lang w:val="en-GB"/>
                            </w:rPr>
                            <w:t xml:space="preserve">#1A Sustainable </w:t>
                          </w:r>
                          <w:r>
                            <w:rPr>
                              <w:rFonts w:eastAsia="Calibri"/>
                              <w:color w:val="000000" w:themeColor="text1"/>
                              <w:kern w:val="24"/>
                              <w:sz w:val="18"/>
                              <w:szCs w:val="18"/>
                              <w:lang w:val="en-GB"/>
                            </w:rPr>
                            <w:t>covers sustainable investments with environmental or social objectives.</w:t>
                          </w:r>
                        </w:p>
                        <w:p w14:paraId="70D1E3F4" w14:textId="77777777" w:rsidR="00677C31" w:rsidRDefault="00677C31" w:rsidP="00677C31">
                          <w:pPr>
                            <w:spacing w:after="60"/>
                            <w:rPr>
                              <w:rFonts w:eastAsia="Calibri"/>
                              <w:color w:val="000000" w:themeColor="text1"/>
                              <w:kern w:val="24"/>
                              <w:sz w:val="18"/>
                              <w:szCs w:val="18"/>
                              <w:lang w:val="en-GB"/>
                            </w:rPr>
                          </w:pPr>
                          <w:r>
                            <w:rPr>
                              <w:rFonts w:eastAsia="Calibri"/>
                              <w:color w:val="000000" w:themeColor="text1"/>
                              <w:kern w:val="24"/>
                              <w:sz w:val="18"/>
                              <w:szCs w:val="18"/>
                              <w:lang w:val="en-GB"/>
                            </w:rPr>
                            <w:t xml:space="preserve">- The sub-category </w:t>
                          </w:r>
                          <w:r>
                            <w:rPr>
                              <w:rFonts w:eastAsia="Calibri"/>
                              <w:b/>
                              <w:bCs/>
                              <w:color w:val="000000" w:themeColor="text1"/>
                              <w:kern w:val="24"/>
                              <w:sz w:val="18"/>
                              <w:szCs w:val="18"/>
                              <w:lang w:val="en-GB"/>
                            </w:rPr>
                            <w:t xml:space="preserve">#1B Other E/S characteristics </w:t>
                          </w:r>
                          <w:r>
                            <w:rPr>
                              <w:rFonts w:eastAsia="Calibri"/>
                              <w:color w:val="000000" w:themeColor="text1"/>
                              <w:kern w:val="24"/>
                              <w:sz w:val="18"/>
                              <w:szCs w:val="18"/>
                              <w:lang w:val="en-GB"/>
                            </w:rPr>
                            <w:t>covers investments aligned with the environmental or social characteristics that do not qualify as sustainable investments.</w:t>
                          </w:r>
                        </w:p>
                        <w:p w14:paraId="3F22F303" w14:textId="77777777" w:rsidR="00677C31" w:rsidRPr="00E86AE8" w:rsidRDefault="00677C31" w:rsidP="00677C31">
                          <w:pPr>
                            <w:spacing w:after="60"/>
                            <w:ind w:left="158"/>
                            <w:rPr>
                              <w:rFonts w:eastAsia="Calibri"/>
                              <w:color w:val="000000" w:themeColor="text1"/>
                              <w:kern w:val="24"/>
                              <w:sz w:val="18"/>
                              <w:szCs w:val="18"/>
                              <w:lang w:val="en-US"/>
                            </w:rPr>
                          </w:pPr>
                          <w:r w:rsidRPr="00E86AE8">
                            <w:rPr>
                              <w:rFonts w:eastAsia="Calibri"/>
                              <w:color w:val="000000" w:themeColor="text1"/>
                              <w:kern w:val="24"/>
                              <w:sz w:val="18"/>
                              <w:szCs w:val="18"/>
                              <w:lang w:val="en-US"/>
                            </w:rPr>
                            <w:t> </w:t>
                          </w:r>
                        </w:p>
                      </w:txbxContent>
                    </v:textbox>
                  </v:shape>
                </v:group>
                <v:group id="Group 1152" o:spid="_x0000_s1030" style="position:absolute;left:6101;top:1091;width:61438;height:17275" coordorigin="6101,1091" coordsize="61438,1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rect id="Rectangle 1153" o:spid="_x0000_s1031" style="position:absolute;left:6101;top:8624;width:12977;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7rJxAAAAN0AAAAPAAAAZHJzL2Rvd25yZXYueG1sRE9LawIx&#10;EL4X/A9hCr3VrFpbWY0iFmlBD+36OA+baXZxM1mSVNd/b4RCb/PxPWe26GwjzuRD7VjBoJ+BIC6d&#10;rtko2O/WzxMQISJrbByTgisFWMx7DzPMtbvwN52LaEQK4ZCjgirGNpcylBVZDH3XEifux3mLMUFv&#10;pPZ4SeG2kcMse5UWa04NFba0qqg8Fb9WwWb18lYcuV5fzegwKbbvxn8cvpR6euyWUxCRuvgv/nN/&#10;6jR/MB7B/Zt0gpzfAAAA//8DAFBLAQItABQABgAIAAAAIQDb4fbL7gAAAIUBAAATAAAAAAAAAAAA&#10;AAAAAAAAAABbQ29udGVudF9UeXBlc10ueG1sUEsBAi0AFAAGAAgAAAAhAFr0LFu/AAAAFQEAAAsA&#10;AAAAAAAAAAAAAAAAHwEAAF9yZWxzLy5yZWxzUEsBAi0AFAAGAAgAAAAhAJovusnEAAAA3QAAAA8A&#10;AAAAAAAAAAAAAAAABwIAAGRycy9kb3ducmV2LnhtbFBLBQYAAAAAAwADALcAAAD4AgAAAAA=&#10;" fillcolor="#a5a5a5" strokecolor="#787878" strokeweight="1pt">
                    <v:textbox>
                      <w:txbxContent>
                        <w:p w14:paraId="3AD19F2B" w14:textId="77777777" w:rsidR="00677C31" w:rsidRPr="000A2BE3" w:rsidRDefault="00677C31" w:rsidP="00677C31">
                          <w:pPr>
                            <w:jc w:val="center"/>
                            <w:rPr>
                              <w:rFonts w:cs="Calibri"/>
                              <w:color w:val="000000" w:themeColor="text1"/>
                              <w:kern w:val="24"/>
                              <w:sz w:val="18"/>
                              <w:szCs w:val="18"/>
                              <w:lang w:val="en-GB"/>
                            </w:rPr>
                          </w:pPr>
                          <w:r w:rsidRPr="000A2BE3">
                            <w:rPr>
                              <w:rFonts w:cs="Calibri"/>
                              <w:color w:val="000000" w:themeColor="text1"/>
                              <w:kern w:val="24"/>
                              <w:sz w:val="18"/>
                              <w:szCs w:val="18"/>
                              <w:lang w:val="en-GB"/>
                            </w:rPr>
                            <w:t>Investments</w:t>
                          </w:r>
                        </w:p>
                      </w:txbxContent>
                    </v:textbox>
                  </v:rect>
                  <v:rect id="Rectangle 1154" o:spid="_x0000_s1032" style="position:absolute;left:21951;top:5224;width:12977;height:5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CQxAAAAN0AAAAPAAAAZHJzL2Rvd25yZXYueG1sRE9La8JA&#10;EL4L/odlhN5011IfpNmIiILtrdaLtzE7TdJmZ9PsapJ/3y0UepuP7znppre1uFPrK8ca5jMFgjh3&#10;puJCw/n9MF2D8AHZYO2YNAzkYZONRykmxnX8RvdTKEQMYZ+ghjKEJpHS5yVZ9DPXEEfuw7UWQ4Rt&#10;IU2LXQy3tXxUaiktVhwbSmxoV1L+dbpZDZfBrNx19bK8dMP1U6n9N+HiVeuHSb99BhGoD//iP/fR&#10;xPnzxRP8fhNPkNkPAAAA//8DAFBLAQItABQABgAIAAAAIQDb4fbL7gAAAIUBAAATAAAAAAAAAAAA&#10;AAAAAAAAAABbQ29udGVudF9UeXBlc10ueG1sUEsBAi0AFAAGAAgAAAAhAFr0LFu/AAAAFQEAAAsA&#10;AAAAAAAAAAAAAAAAHwEAAF9yZWxzLy5yZWxzUEsBAi0AFAAGAAgAAAAhAMUaQJDEAAAA3QAAAA8A&#10;AAAAAAAAAAAAAAAABwIAAGRycy9kb3ducmV2LnhtbFBLBQYAAAAAAwADALcAAAD4AgAAAAA=&#10;" fillcolor="#a9d18e" strokecolor="#70ad47" strokeweight="1pt">
                    <v:textbox>
                      <w:txbxContent>
                        <w:p w14:paraId="16D40FBD" w14:textId="01E1F6AF"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75</w:t>
                          </w:r>
                          <w:r w:rsidR="00677C31" w:rsidRPr="00DD04D5">
                            <w:rPr>
                              <w:rFonts w:cs="Calibri"/>
                              <w:color w:val="000000" w:themeColor="text1"/>
                              <w:kern w:val="24"/>
                              <w:sz w:val="16"/>
                              <w:szCs w:val="16"/>
                              <w:lang w:val="en-GB"/>
                            </w:rPr>
                            <w:t>%</w:t>
                          </w:r>
                        </w:p>
                        <w:p w14:paraId="606C7457"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#1 Aligned with E/S</w:t>
                          </w:r>
                          <w:r>
                            <w:rPr>
                              <w:rFonts w:cs="Calibri"/>
                              <w:color w:val="000000" w:themeColor="text1"/>
                              <w:kern w:val="24"/>
                              <w:sz w:val="16"/>
                              <w:szCs w:val="16"/>
                              <w:lang w:val="en-GB"/>
                            </w:rPr>
                            <w:t xml:space="preserve"> characteristics</w:t>
                          </w:r>
                        </w:p>
                      </w:txbxContent>
                    </v:textbox>
                  </v:rect>
                  <v:rect id="Rectangle 1155" o:spid="_x0000_s1033" style="position:absolute;left:21954;top:12023;width:12977;height:4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cmxAAAAN0AAAAPAAAAZHJzL2Rvd25yZXYueG1sRE9NawIx&#10;EL0L/ocwhd40q62tbI0iFqmgh3Zbex420+ziZrIkqa7/3giCt3m8z5ktOtuII/lQO1YwGmYgiEun&#10;azYKfr7XgymIEJE1No5JwZkCLOb93gxz7U78RcciGpFCOOSooIqxzaUMZUUWw9C1xIn7c95iTNAb&#10;qT2eUrht5DjLXqTFmlNDhS2tKioPxb9VsF09vxa/XK/P5mk/LXbvxn/sP5V6fOiWbyAidfEuvrk3&#10;Os0fTSZw/SadIOcXAAAA//8DAFBLAQItABQABgAIAAAAIQDb4fbL7gAAAIUBAAATAAAAAAAAAAAA&#10;AAAAAAAAAABbQ29udGVudF9UeXBlc10ueG1sUEsBAi0AFAAGAAgAAAAhAFr0LFu/AAAAFQEAAAsA&#10;AAAAAAAAAAAAAAAAHwEAAF9yZWxzLy5yZWxzUEsBAi0AFAAGAAgAAAAhAHqKhybEAAAA3QAAAA8A&#10;AAAAAAAAAAAAAAAABwIAAGRycy9kb3ducmV2LnhtbFBLBQYAAAAAAwADALcAAAD4AgAAAAA=&#10;" fillcolor="#a5a5a5" strokecolor="#787878" strokeweight="1pt">
                    <v:textbox>
                      <w:txbxContent>
                        <w:p w14:paraId="3BB80DAA" w14:textId="54C15264"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25</w:t>
                          </w:r>
                          <w:r w:rsidR="00677C31" w:rsidRPr="00DD04D5">
                            <w:rPr>
                              <w:rFonts w:cs="Calibri"/>
                              <w:color w:val="000000" w:themeColor="text1"/>
                              <w:kern w:val="24"/>
                              <w:sz w:val="16"/>
                              <w:szCs w:val="16"/>
                              <w:lang w:val="en-GB"/>
                            </w:rPr>
                            <w:t>%</w:t>
                          </w:r>
                        </w:p>
                        <w:p w14:paraId="1EF1075B"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#2 Other</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56" o:spid="_x0000_s1034" type="#_x0000_t34" style="position:absolute;left:19078;top:10690;width:2876;height:33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OzywQAAAN0AAAAPAAAAZHJzL2Rvd25yZXYueG1sRE9La8JA&#10;EL4X+h+WKfRWN5FGNHUVEYXizQd4HbJjEpqdDdkxif++Wyh4m4/vOcv16BrVUxdqzwbSSQKKuPC2&#10;5tLA5bz/mIMKgmyx8UwGHhRgvXp9WWJu/cBH6k9SqhjCIUcDlUibax2KihyGiW+JI3fznUOJsCu1&#10;7XCI4a7R0ySZaYc1x4YKW9pWVPyc7s7AIJl9ZIdPkttiPKSLXZNd+9SY97dx8wVKaJSn+N/9beP8&#10;NJvB3zfxBL36BQAA//8DAFBLAQItABQABgAIAAAAIQDb4fbL7gAAAIUBAAATAAAAAAAAAAAAAAAA&#10;AAAAAABbQ29udGVudF9UeXBlc10ueG1sUEsBAi0AFAAGAAgAAAAhAFr0LFu/AAAAFQEAAAsAAAAA&#10;AAAAAAAAAAAAHwEAAF9yZWxzLy5yZWxzUEsBAi0AFAAGAAgAAAAhALqA7PLBAAAA3QAAAA8AAAAA&#10;AAAAAAAAAAAABwIAAGRycy9kb3ducmV2LnhtbFBLBQYAAAAAAwADALcAAAD1AgAAAAA=&#10;" strokecolor="#7f7f7f" strokeweight=".5pt">
                    <o:lock v:ext="edit" shapetype="f"/>
                  </v:shape>
                  <v:shape id="Connector: Elbow 1157" o:spid="_x0000_s1035" type="#_x0000_t34" style="position:absolute;left:19078;top:7291;width:2876;height:339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PwxAAAAN0AAAAPAAAAZHJzL2Rvd25yZXYueG1sRE/bagIx&#10;EH0v9B/CFPpSNLG1VVajSC/ggw/18gHDZnazuJksSbpu/74RhL7N4VxnuR5cK3oKsfGsYTJWIIhL&#10;bxquNZyOX6M5iJiQDbaeScMvRViv7u+WWBh/4T31h1SLHMKxQA02pa6QMpaWHMax74gzV/ngMGUY&#10;amkCXnK4a+WzUm/SYcO5wWJH75bK8+HHaVDT/W5+2nz0R1t9V58q0MtOPWn9+DBsFiASDelffHNv&#10;TZ4/eZ3B9Zt8glz9AQAA//8DAFBLAQItABQABgAIAAAAIQDb4fbL7gAAAIUBAAATAAAAAAAAAAAA&#10;AAAAAAAAAABbQ29udGVudF9UeXBlc10ueG1sUEsBAi0AFAAGAAgAAAAhAFr0LFu/AAAAFQEAAAsA&#10;AAAAAAAAAAAAAAAAHwEAAF9yZWxzLy5yZWxzUEsBAi0AFAAGAAgAAAAhAFeGc/DEAAAA3QAAAA8A&#10;AAAAAAAAAAAAAAAABwIAAGRycy9kb3ducmV2LnhtbFBLBQYAAAAAAwADALcAAAD4AgAAAAA=&#10;" strokecolor="#7f7f7f" strokeweight=".5pt">
                    <o:lock v:ext="edit" shapetype="f"/>
                  </v:shape>
                  <v:rect id="Rectangle 1158" o:spid="_x0000_s1036" style="position:absolute;left:37808;top:3157;width:13145;height:4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1wwAAAN0AAAAPAAAAZHJzL2Rvd25yZXYueG1sRI9Bi8Iw&#10;EIXvC/6HMIKXRVMFRapRRBAUPOxWf8DQjE2xmZQmav33zmFhbzO8N+99s972vlFP6mId2MB0koEi&#10;LoOtuTJwvRzGS1AxIVtsApOBN0XYbgZfa8xtePEvPYtUKQnhmKMBl1Kbax1LRx7jJLTEot1C5zHJ&#10;2lXadviScN/oWZYttMeapcFhS3tH5b14eAN27ordgxbFId51dgo/5dJ/n40ZDfvdClSiPv2b/66P&#10;VvCnc8GVb2QEvfkAAAD//wMAUEsBAi0AFAAGAAgAAAAhANvh9svuAAAAhQEAABMAAAAAAAAAAAAA&#10;AAAAAAAAAFtDb250ZW50X1R5cGVzXS54bWxQSwECLQAUAAYACAAAACEAWvQsW78AAAAVAQAACwAA&#10;AAAAAAAAAAAAAAAfAQAAX3JlbHMvLnJlbHNQSwECLQAUAAYACAAAACEA/miQdcMAAADdAAAADwAA&#10;AAAAAAAAAAAAAAAHAgAAZHJzL2Rvd25yZXYueG1sUEsFBgAAAAADAAMAtwAAAPcCAAAAAA==&#10;" fillcolor="#548235" strokecolor="#385723" strokeweight="1pt">
                    <v:textbox>
                      <w:txbxContent>
                        <w:p w14:paraId="1FB3E44F" w14:textId="1782B6BA" w:rsidR="00677C31" w:rsidRPr="00DD04D5" w:rsidRDefault="00720550" w:rsidP="00677C31">
                          <w:pPr>
                            <w:jc w:val="center"/>
                            <w:rPr>
                              <w:rFonts w:cs="Calibri"/>
                              <w:color w:val="FFFFFF" w:themeColor="background1"/>
                              <w:kern w:val="24"/>
                              <w:sz w:val="16"/>
                              <w:szCs w:val="16"/>
                              <w:lang w:val="en-GB"/>
                            </w:rPr>
                          </w:pPr>
                          <w:r>
                            <w:rPr>
                              <w:rFonts w:cs="Calibri"/>
                              <w:color w:val="FFFFFF" w:themeColor="background1"/>
                              <w:kern w:val="24"/>
                              <w:sz w:val="16"/>
                              <w:szCs w:val="16"/>
                              <w:lang w:val="en-GB"/>
                            </w:rPr>
                            <w:t>0</w:t>
                          </w:r>
                          <w:r w:rsidR="00677C31" w:rsidRPr="00DD04D5">
                            <w:rPr>
                              <w:rFonts w:cs="Calibri"/>
                              <w:color w:val="FFFFFF" w:themeColor="background1"/>
                              <w:kern w:val="24"/>
                              <w:sz w:val="16"/>
                              <w:szCs w:val="16"/>
                              <w:lang w:val="en-GB"/>
                            </w:rPr>
                            <w:t>%</w:t>
                          </w:r>
                        </w:p>
                        <w:p w14:paraId="534A71A8" w14:textId="77777777" w:rsidR="00677C31" w:rsidRPr="00DD04D5" w:rsidRDefault="00677C31" w:rsidP="00677C31">
                          <w:pPr>
                            <w:jc w:val="center"/>
                            <w:rPr>
                              <w:rFonts w:cs="Calibri"/>
                              <w:color w:val="FFFFFF" w:themeColor="background1"/>
                              <w:kern w:val="24"/>
                              <w:sz w:val="16"/>
                              <w:szCs w:val="16"/>
                              <w:lang w:val="en-GB"/>
                            </w:rPr>
                          </w:pPr>
                          <w:r w:rsidRPr="00DD04D5">
                            <w:rPr>
                              <w:rFonts w:cs="Calibri"/>
                              <w:color w:val="FFFFFF" w:themeColor="background1"/>
                              <w:kern w:val="24"/>
                              <w:sz w:val="16"/>
                              <w:szCs w:val="16"/>
                              <w:lang w:val="en-GB"/>
                            </w:rPr>
                            <w:t>#1A Sustainable</w:t>
                          </w:r>
                        </w:p>
                      </w:txbxContent>
                    </v:textbox>
                  </v:rect>
                  <v:rect id="Rectangle 1159" o:spid="_x0000_s1037" style="position:absolute;left:37804;top:9357;width:12976;height:5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yS/xAAAAN0AAAAPAAAAZHJzL2Rvd25yZXYueG1sRE9Na8JA&#10;EL0L/Q/LFHopurFQMamriFgolApG8TzJjkma7GzIrkn677uFgrd5vM9ZbUbTiJ46V1lWMJ9FIIhz&#10;qysuFJxP79MlCOeRNTaWScEPOdisHyYrTLQd+Eh96gsRQtglqKD0vk2kdHlJBt3MtsSBu9rOoA+w&#10;K6TucAjhppEvUbSQBisODSW2tCspr9ObUfBdPx/kNc6+Lvi5z2622ksd1Uo9PY7bNxCeRn8X/7s/&#10;dJg/f43h75twglz/AgAA//8DAFBLAQItABQABgAIAAAAIQDb4fbL7gAAAIUBAAATAAAAAAAAAAAA&#10;AAAAAAAAAABbQ29udGVudF9UeXBlc10ueG1sUEsBAi0AFAAGAAgAAAAhAFr0LFu/AAAAFQEAAAsA&#10;AAAAAAAAAAAAAAAAHwEAAF9yZWxzLy5yZWxzUEsBAi0AFAAGAAgAAAAhAPaHJL/EAAAA3QAAAA8A&#10;AAAAAAAAAAAAAAAABwIAAGRycy9kb3ducmV2LnhtbFBLBQYAAAAAAwADALcAAAD4AgAAAAA=&#10;" fillcolor="#e2f0d9" strokecolor="#a9d18e" strokeweight="1pt">
                    <v:textbox>
                      <w:txbxContent>
                        <w:p w14:paraId="69F71464" w14:textId="49881B94" w:rsidR="00677C31" w:rsidRPr="00DD04D5" w:rsidRDefault="00C86916" w:rsidP="00677C31">
                          <w:pPr>
                            <w:jc w:val="center"/>
                            <w:rPr>
                              <w:rFonts w:cs="Calibri"/>
                              <w:color w:val="000000" w:themeColor="text1"/>
                              <w:kern w:val="24"/>
                              <w:sz w:val="16"/>
                              <w:szCs w:val="16"/>
                              <w:lang w:val="en-GB"/>
                            </w:rPr>
                          </w:pPr>
                          <w:r>
                            <w:rPr>
                              <w:rFonts w:cs="Calibri"/>
                              <w:color w:val="000000" w:themeColor="text1"/>
                              <w:kern w:val="24"/>
                              <w:sz w:val="16"/>
                              <w:szCs w:val="16"/>
                              <w:lang w:val="en-GB"/>
                            </w:rPr>
                            <w:t>75</w:t>
                          </w:r>
                          <w:r w:rsidR="00677C31" w:rsidRPr="00DD04D5">
                            <w:rPr>
                              <w:rFonts w:cs="Calibri"/>
                              <w:color w:val="000000" w:themeColor="text1"/>
                              <w:kern w:val="24"/>
                              <w:sz w:val="16"/>
                              <w:szCs w:val="16"/>
                              <w:lang w:val="en-GB"/>
                            </w:rPr>
                            <w:t>%</w:t>
                          </w:r>
                        </w:p>
                        <w:p w14:paraId="46D642C7"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#1B Other E/S characteristics</w:t>
                          </w:r>
                        </w:p>
                      </w:txbxContent>
                    </v:textbox>
                  </v:rect>
                  <v:rect id="Rectangle 1160" o:spid="_x0000_s1038" style="position:absolute;left:53660;top:1091;width:13879;height:4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2gxAAAAN0AAAAPAAAAZHJzL2Rvd25yZXYueG1sRI9BT8Mw&#10;DIXvSPsPkSdxY+l2KKUsm9gkJI5sDImj1XhtR+NUSbaGf48PSNxsvef3Pq+32Q3qRiH2ng0sFwUo&#10;4sbbnlsDp4/XhwpUTMgWB89k4IcibDezuzXW1k98oNsxtUpCONZooEtprLWOTUcO48KPxKKdfXCY&#10;ZA2ttgEnCXeDXhVFqR32LA0djrTvqPk+Xp2B3efX04WaqcxVie/XfX485CoYcz/PL8+gEuX0b/67&#10;frOCvyyFX76REfTmFwAA//8DAFBLAQItABQABgAIAAAAIQDb4fbL7gAAAIUBAAATAAAAAAAAAAAA&#10;AAAAAAAAAABbQ29udGVudF9UeXBlc10ueG1sUEsBAi0AFAAGAAgAAAAhAFr0LFu/AAAAFQEAAAsA&#10;AAAAAAAAAAAAAAAAHwEAAF9yZWxzLy5yZWxzUEsBAi0AFAAGAAgAAAAhAIZI/aDEAAAA3QAAAA8A&#10;AAAAAAAAAAAAAAAABwIAAGRycy9kb3ducmV2LnhtbFBLBQYAAAAAAwADALcAAAD4AgAAAAA=&#10;" fillcolor="#385723" strokecolor="#385723" strokeweight="1pt">
                    <v:textbox>
                      <w:txbxContent>
                        <w:p w14:paraId="24CCAF33" w14:textId="3EF60706" w:rsidR="00677C31" w:rsidRPr="00DD04D5" w:rsidRDefault="00720550" w:rsidP="00677C31">
                          <w:pPr>
                            <w:jc w:val="center"/>
                            <w:rPr>
                              <w:rFonts w:cs="Calibri"/>
                              <w:color w:val="FFFFFF" w:themeColor="background1"/>
                              <w:kern w:val="24"/>
                              <w:sz w:val="16"/>
                              <w:szCs w:val="16"/>
                              <w:lang w:val="en-GB"/>
                            </w:rPr>
                          </w:pPr>
                          <w:r>
                            <w:rPr>
                              <w:rFonts w:cs="Calibri"/>
                              <w:color w:val="FFFFFF" w:themeColor="background1"/>
                              <w:kern w:val="24"/>
                              <w:sz w:val="16"/>
                              <w:szCs w:val="16"/>
                              <w:lang w:val="en-GB"/>
                            </w:rPr>
                            <w:t>0</w:t>
                          </w:r>
                          <w:r w:rsidR="00677C31" w:rsidRPr="00DD04D5">
                            <w:rPr>
                              <w:rFonts w:cs="Calibri"/>
                              <w:color w:val="FFFFFF" w:themeColor="background1"/>
                              <w:kern w:val="24"/>
                              <w:sz w:val="16"/>
                              <w:szCs w:val="16"/>
                              <w:lang w:val="en-GB"/>
                            </w:rPr>
                            <w:t>%</w:t>
                          </w:r>
                        </w:p>
                        <w:p w14:paraId="5B6A0860" w14:textId="77777777" w:rsidR="00677C31" w:rsidRPr="00DD04D5" w:rsidRDefault="00677C31" w:rsidP="00677C31">
                          <w:pPr>
                            <w:jc w:val="center"/>
                            <w:rPr>
                              <w:rFonts w:cs="Calibri"/>
                              <w:color w:val="FFFFFF" w:themeColor="background1"/>
                              <w:kern w:val="24"/>
                              <w:sz w:val="16"/>
                              <w:szCs w:val="16"/>
                              <w:lang w:val="en-GB"/>
                            </w:rPr>
                          </w:pPr>
                          <w:r w:rsidRPr="00DD04D5">
                            <w:rPr>
                              <w:rFonts w:cs="Calibri"/>
                              <w:color w:val="FFFFFF" w:themeColor="background1"/>
                              <w:kern w:val="24"/>
                              <w:sz w:val="16"/>
                              <w:szCs w:val="16"/>
                              <w:lang w:val="en-GB"/>
                            </w:rPr>
                            <w:t>Taxonomy-aligned</w:t>
                          </w:r>
                        </w:p>
                      </w:txbxContent>
                    </v:textbox>
                  </v:rect>
                  <v:rect id="Rectangle 1161" o:spid="_x0000_s1039" style="position:absolute;left:53660;top:7289;width:13879;height:4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SIxAAAAN0AAAAPAAAAZHJzL2Rvd25yZXYueG1sRE9Na8JA&#10;EL0X/A/LCF6KblaolOgqIhTag4em0vY4yY5JMDsbs9sk/fddQehtHu9zNrvRNqKnzteONahFAoK4&#10;cKbmUsPp42X+DMIHZIONY9LwSx5228nDBlPjBn6nPguliCHsU9RQhdCmUvqiIot+4VriyJ1dZzFE&#10;2JXSdDjEcNvIZZKspMWaY0OFLR0qKi7Zj9Xw+PVUj+pTDce36zXPc+6P35nUejYd92sQgcbwL767&#10;X02cr1YKbt/EE+T2DwAA//8DAFBLAQItABQABgAIAAAAIQDb4fbL7gAAAIUBAAATAAAAAAAAAAAA&#10;AAAAAAAAAABbQ29udGVudF9UeXBlc10ueG1sUEsBAi0AFAAGAAgAAAAhAFr0LFu/AAAAFQEAAAsA&#10;AAAAAAAAAAAAAAAAHwEAAF9yZWxzLy5yZWxzUEsBAi0AFAAGAAgAAAAhADNi5IjEAAAA3QAAAA8A&#10;AAAAAAAAAAAAAAAABwIAAGRycy9kb3ducmV2LnhtbFBLBQYAAAAAAwADALcAAAD4AgAAAAA=&#10;" fillcolor="#70ad47" strokecolor="#548235" strokeweight="1pt">
                    <v:textbox>
                      <w:txbxContent>
                        <w:p w14:paraId="0DD02458" w14:textId="7F783DE7"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0</w:t>
                          </w:r>
                          <w:r w:rsidR="00677C31" w:rsidRPr="00DD04D5">
                            <w:rPr>
                              <w:rFonts w:cs="Calibri"/>
                              <w:color w:val="000000" w:themeColor="text1"/>
                              <w:kern w:val="24"/>
                              <w:sz w:val="16"/>
                              <w:szCs w:val="16"/>
                              <w:lang w:val="en-GB"/>
                            </w:rPr>
                            <w:t>%</w:t>
                          </w:r>
                        </w:p>
                        <w:p w14:paraId="050EF2CE"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Other environmental</w:t>
                          </w:r>
                        </w:p>
                      </w:txbxContent>
                    </v:textbox>
                  </v:rect>
                  <v:rect id="Rectangle 1162" o:spid="_x0000_s1040" style="position:absolute;left:53660;top:13488;width:13879;height:4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eDwwAAAN0AAAAPAAAAZHJzL2Rvd25yZXYueG1sRE9La8JA&#10;EL4L/Q/LFHrTjUKDpq7SFkoDnhqFXofsuInNzobs5mF/fVcoeJuP7znb/WQbMVDna8cKlosEBHHp&#10;dM1Gwen4MV+D8AFZY+OYFFzJw373MNtipt3IXzQUwYgYwj5DBVUIbSalLyuy6BeuJY7c2XUWQ4Sd&#10;kbrDMYbbRq6SJJUWa44NFbb0XlH5U/RWge2H78+N7E/J2+85vxyu5vIcjFJPj9PrC4hAU7iL/925&#10;jvOX6Qpu38QT5O4PAAD//wMAUEsBAi0AFAAGAAgAAAAhANvh9svuAAAAhQEAABMAAAAAAAAAAAAA&#10;AAAAAAAAAFtDb250ZW50X1R5cGVzXS54bWxQSwECLQAUAAYACAAAACEAWvQsW78AAAAVAQAACwAA&#10;AAAAAAAAAAAAAAAfAQAAX3JlbHMvLnJlbHNQSwECLQAUAAYACAAAACEADPJXg8MAAADdAAAADwAA&#10;AAAAAAAAAAAAAAAHAgAAZHJzL2Rvd25yZXYueG1sUEsFBgAAAAADAAMAtwAAAPcCAAAAAA==&#10;" fillcolor="#5b9bd5" strokecolor="#2e75b6" strokeweight="1pt">
                    <v:textbox>
                      <w:txbxContent>
                        <w:p w14:paraId="29856A1B" w14:textId="42EBC71F" w:rsidR="00677C31" w:rsidRPr="00DD04D5" w:rsidRDefault="00720550" w:rsidP="00677C31">
                          <w:pPr>
                            <w:jc w:val="center"/>
                            <w:rPr>
                              <w:rFonts w:cs="Calibri"/>
                              <w:color w:val="000000" w:themeColor="text1"/>
                              <w:kern w:val="24"/>
                              <w:sz w:val="16"/>
                              <w:szCs w:val="16"/>
                              <w:lang w:val="en-GB"/>
                            </w:rPr>
                          </w:pPr>
                          <w:r>
                            <w:rPr>
                              <w:rFonts w:cs="Calibri"/>
                              <w:color w:val="000000" w:themeColor="text1"/>
                              <w:kern w:val="24"/>
                              <w:sz w:val="16"/>
                              <w:szCs w:val="16"/>
                              <w:lang w:val="en-GB"/>
                            </w:rPr>
                            <w:t>0</w:t>
                          </w:r>
                          <w:r w:rsidR="00677C31" w:rsidRPr="00DD04D5">
                            <w:rPr>
                              <w:rFonts w:cs="Calibri"/>
                              <w:color w:val="000000" w:themeColor="text1"/>
                              <w:kern w:val="24"/>
                              <w:sz w:val="16"/>
                              <w:szCs w:val="16"/>
                              <w:lang w:val="en-GB"/>
                            </w:rPr>
                            <w:t>%</w:t>
                          </w:r>
                        </w:p>
                        <w:p w14:paraId="7E445A28" w14:textId="77777777" w:rsidR="00677C31" w:rsidRPr="00DD04D5" w:rsidRDefault="00677C31" w:rsidP="00677C31">
                          <w:pPr>
                            <w:jc w:val="center"/>
                            <w:rPr>
                              <w:rFonts w:cs="Calibri"/>
                              <w:color w:val="000000" w:themeColor="text1"/>
                              <w:kern w:val="24"/>
                              <w:sz w:val="16"/>
                              <w:szCs w:val="16"/>
                              <w:lang w:val="en-GB"/>
                            </w:rPr>
                          </w:pPr>
                          <w:r w:rsidRPr="00DD04D5">
                            <w:rPr>
                              <w:rFonts w:cs="Calibri"/>
                              <w:color w:val="000000" w:themeColor="text1"/>
                              <w:kern w:val="24"/>
                              <w:sz w:val="16"/>
                              <w:szCs w:val="16"/>
                              <w:lang w:val="en-GB"/>
                            </w:rPr>
                            <w:t>Social</w:t>
                          </w:r>
                        </w:p>
                      </w:txbxContent>
                    </v:textbox>
                  </v:rect>
                  <v:shape id="Connector: Elbow 1163" o:spid="_x0000_s1041" type="#_x0000_t34" style="position:absolute;left:34931;top:5224;width:2877;height:20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b9OwwAAAN0AAAAPAAAAZHJzL2Rvd25yZXYueG1sRE/NagIx&#10;EL4LfYcwhV5EE6uIrEaR/kAPHlz1AYbN7GbpZrIk6bp9+6ZQ6G0+vt/ZHUbXiYFCbD1rWMwVCOLK&#10;m5YbDbfr+2wDIiZkg51n0vBNEQ77h8kOC+PvXNJwSY3IIRwL1GBT6gspY2XJYZz7njhztQ8OU4ah&#10;kSbgPYe7Tj4rtZYOW84NFnt6sVR9Xr6cBrUqT5vb8XW42vpcv6lAy5Oaav30OB63IBKN6V/85/4w&#10;ef5ivYTfb/IJcv8DAAD//wMAUEsBAi0AFAAGAAgAAAAhANvh9svuAAAAhQEAABMAAAAAAAAAAAAA&#10;AAAAAAAAAFtDb250ZW50X1R5cGVzXS54bWxQSwECLQAUAAYACAAAACEAWvQsW78AAAAVAQAACwAA&#10;AAAAAAAAAAAAAAAfAQAAX3JlbHMvLnJlbHNQSwECLQAUAAYACAAAACEA5tG/TsMAAADdAAAADwAA&#10;AAAAAAAAAAAAAAAHAgAAZHJzL2Rvd25yZXYueG1sUEsFBgAAAAADAAMAtwAAAPcCAAAAAA==&#10;" strokecolor="#7f7f7f" strokeweight=".5pt">
                    <o:lock v:ext="edit" shapetype="f"/>
                  </v:shape>
                  <v:shape id="Connector: Elbow 1164" o:spid="_x0000_s1042" type="#_x0000_t34" style="position:absolute;left:50785;top:3158;width:2877;height:20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c6wwAAAN0AAAAPAAAAZHJzL2Rvd25yZXYueG1sRE/NagIx&#10;EL4LfYcwhV5EE1sRWY0itYUePHTVBxg2s5ulm8mSxHX79k2h0Nt8fL+z3Y+uEwOF2HrWsJgrEMSV&#10;Ny03Gq6X99kaREzIBjvPpOGbIux3D5MtFsbfuaThnBqRQzgWqMGm1BdSxsqSwzj3PXHmah8cpgxD&#10;I03Aew53nXxWaiUdtpwbLPb0aqn6Ot+cBrUsT+vr4ThcbP1Zv6lALyc11frpcTxsQCQa07/4z/1h&#10;8vzFagm/3+QT5O4HAAD//wMAUEsBAi0AFAAGAAgAAAAhANvh9svuAAAAhQEAABMAAAAAAAAAAAAA&#10;AAAAAAAAAFtDb250ZW50X1R5cGVzXS54bWxQSwECLQAUAAYACAAAACEAWvQsW78AAAAVAQAACwAA&#10;AAAAAAAAAAAAAAAfAQAAX3JlbHMvLnJlbHNQSwECLQAUAAYACAAAACEAaTgnOsMAAADdAAAADwAA&#10;AAAAAAAAAAAAAAAHAgAAZHJzL2Rvd25yZXYueG1sUEsFBgAAAAADAAMAtwAAAPcCAAAAAA==&#10;" strokecolor="#7f7f7f" strokeweight=".5pt">
                    <o:lock v:ext="edit" shapetype="f"/>
                  </v:shape>
                  <v:shape id="Connector: Elbow 1165" o:spid="_x0000_s1043" type="#_x0000_t34" style="position:absolute;left:34931;top:7291;width:2877;height:41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g4wQAAAN0AAAAPAAAAZHJzL2Rvd25yZXYueG1sRE9La8JA&#10;EL4X+h+WKfRWN5FGNHUVEYXizQd4HbJjEpqdDdkxif++Wyh4m4/vOcv16BrVUxdqzwbSSQKKuPC2&#10;5tLA5bz/mIMKgmyx8UwGHhRgvXp9WWJu/cBH6k9SqhjCIUcDlUibax2KihyGiW+JI3fznUOJsCu1&#10;7XCI4a7R0ySZaYc1x4YKW9pWVPyc7s7AIJl9ZIdPkttiPKSLXZNd+9SY97dx8wVKaJSn+N/9beP8&#10;dJbB3zfxBL36BQAA//8DAFBLAQItABQABgAIAAAAIQDb4fbL7gAAAIUBAAATAAAAAAAAAAAAAAAA&#10;AAAAAABbQ29udGVudF9UeXBlc10ueG1sUEsBAi0AFAAGAAgAAAAhAFr0LFu/AAAAFQEAAAsAAAAA&#10;AAAAAAAAAAAAHwEAAF9yZWxzLy5yZWxzUEsBAi0AFAAGAAgAAAAhAIQ+uDjBAAAA3QAAAA8AAAAA&#10;AAAAAAAAAAAABwIAAGRycy9kb3ducmV2LnhtbFBLBQYAAAAAAwADALcAAAD1AgAAAAA=&#10;" strokecolor="#7f7f7f" strokeweight=".5pt">
                    <o:lock v:ext="edit" shapetype="f"/>
                  </v:shape>
                  <v:shape id="Connector: Elbow 1166" o:spid="_x0000_s1044" type="#_x0000_t34" style="position:absolute;left:50785;top:5224;width:2877;height:41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CZPwQAAAN0AAAAPAAAAZHJzL2Rvd25yZXYueG1sRE9Na8JA&#10;EL0L/odlBG+6iZhQU1cppYXirSr0OmTHJDQ7G7JjEv99t1DobR7vc/bHybVqoD40ng2k6wQUcelt&#10;w5WB6+V99QQqCLLF1jMZeFCA42E+22Nh/cifNJylUjGEQ4EGapGu0DqUNTkMa98RR+7me4cSYV9p&#10;2+MYw12rN0mSa4cNx4YaO3qtqfw+352BUTL7yE5bkttuOqW7tzb7GlJjlovp5RmU0CT/4j/3h43z&#10;0zyH32/iCfrwAwAA//8DAFBLAQItABQABgAIAAAAIQDb4fbL7gAAAIUBAAATAAAAAAAAAAAAAAAA&#10;AAAAAABbQ29udGVudF9UeXBlc10ueG1sUEsBAi0AFAAGAAgAAAAhAFr0LFu/AAAAFQEAAAsAAAAA&#10;AAAAAAAAAAAAHwEAAF9yZWxzLy5yZWxzUEsBAi0AFAAGAAgAAAAhAHTsJk/BAAAA3QAAAA8AAAAA&#10;AAAAAAAAAAAABwIAAGRycy9kb3ducmV2LnhtbFBLBQYAAAAAAwADALcAAAD1AgAAAAA=&#10;" strokecolor="#7f7f7f" strokeweight=".5pt">
                    <o:lock v:ext="edit" shapetype="f"/>
                  </v:shape>
                  <v:shape id="Connector: Elbow 1167" o:spid="_x0000_s1045" type="#_x0000_t34" style="position:absolute;left:50785;top:5224;width:2877;height:103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PUwgAAAN0AAAAPAAAAZHJzL2Rvd25yZXYueG1sRE9Na8JA&#10;EL0X+h+WKfRWNynG1ugqRSwUb2qh1yE7JsHsbMiOSfz3XUHwNo/3Ocv16BrVUxdqzwbSSQKKuPC2&#10;5tLA7/H77RNUEGSLjWcycKUA69Xz0xJz6wfeU3+QUsUQDjkaqETaXOtQVOQwTHxLHLmT7xxKhF2p&#10;bYdDDHeNfk+SmXZYc2yosKVNRcX5cHEGBsnsNdtNSU7zcZfOt03216fGvL6MXwtQQqM8xHf3j43z&#10;09kH3L6JJ+jVPwAAAP//AwBQSwECLQAUAAYACAAAACEA2+H2y+4AAACFAQAAEwAAAAAAAAAAAAAA&#10;AAAAAAAAW0NvbnRlbnRfVHlwZXNdLnhtbFBLAQItABQABgAIAAAAIQBa9CxbvwAAABUBAAALAAAA&#10;AAAAAAAAAAAAAB8BAABfcmVscy8ucmVsc1BLAQItABQABgAIAAAAIQAboIPUwgAAAN0AAAAPAAAA&#10;AAAAAAAAAAAAAAcCAABkcnMvZG93bnJldi54bWxQSwUGAAAAAAMAAwC3AAAA9gIAAAAA&#10;" strokecolor="#7f7f7f" strokeweight=".5pt">
                    <o:lock v:ext="edit" shapetype="f"/>
                  </v:shape>
                </v:group>
                <w10:anchorlock/>
              </v:group>
            </w:pict>
          </mc:Fallback>
        </mc:AlternateContent>
      </w:r>
    </w:p>
    <w:p w14:paraId="300B641B" w14:textId="77777777" w:rsidR="00BB5636" w:rsidRDefault="00BB5636" w:rsidP="001F5AEE">
      <w:pPr>
        <w:pStyle w:val="BodyText"/>
        <w:spacing w:before="114" w:after="120"/>
        <w:ind w:left="136" w:right="136"/>
        <w:jc w:val="both"/>
        <w:rPr>
          <w:lang w:val="en-GB"/>
        </w:rPr>
      </w:pPr>
    </w:p>
    <w:p w14:paraId="2767830E" w14:textId="372E0807" w:rsidR="008C5ECB" w:rsidRPr="00E86AE8" w:rsidRDefault="008C5ECB" w:rsidP="00F52BE9">
      <w:pPr>
        <w:pStyle w:val="BodyText"/>
        <w:numPr>
          <w:ilvl w:val="0"/>
          <w:numId w:val="5"/>
        </w:numPr>
        <w:spacing w:before="114" w:line="264" w:lineRule="auto"/>
        <w:ind w:right="134"/>
        <w:jc w:val="both"/>
        <w:rPr>
          <w:lang w:val="en-US"/>
        </w:rPr>
      </w:pPr>
      <w:r w:rsidRPr="00CF6A2E">
        <w:rPr>
          <w:u w:val="single"/>
          <w:lang w:val="en-GB"/>
        </w:rPr>
        <w:t>Promotion of the environmental or social characteristics through use of derivates</w:t>
      </w:r>
      <w:r>
        <w:rPr>
          <w:lang w:val="en-GB"/>
        </w:rPr>
        <w:t>:</w:t>
      </w:r>
      <w:r w:rsidR="00802F0A">
        <w:rPr>
          <w:lang w:val="en-GB"/>
        </w:rPr>
        <w:t xml:space="preserve"> </w:t>
      </w:r>
      <w:r w:rsidR="00D0173A" w:rsidRPr="00D0173A">
        <w:rPr>
          <w:lang w:val="en-GB"/>
        </w:rPr>
        <w:t xml:space="preserve">Use of derivatives is limited only for hedging purposes, linked to the acquisition, disposal and the financing of </w:t>
      </w:r>
      <w:r w:rsidR="00D0173A">
        <w:rPr>
          <w:lang w:val="en-GB"/>
        </w:rPr>
        <w:t>r</w:t>
      </w:r>
      <w:r w:rsidR="00D0173A" w:rsidRPr="00D0173A">
        <w:rPr>
          <w:lang w:val="en-GB"/>
        </w:rPr>
        <w:t xml:space="preserve">eal </w:t>
      </w:r>
      <w:r w:rsidR="00D0173A">
        <w:rPr>
          <w:lang w:val="en-GB"/>
        </w:rPr>
        <w:t>e</w:t>
      </w:r>
      <w:r w:rsidR="00D0173A" w:rsidRPr="00D0173A">
        <w:rPr>
          <w:lang w:val="en-GB"/>
        </w:rPr>
        <w:t xml:space="preserve">state </w:t>
      </w:r>
      <w:r w:rsidR="00D0173A">
        <w:rPr>
          <w:lang w:val="en-GB"/>
        </w:rPr>
        <w:t>a</w:t>
      </w:r>
      <w:r w:rsidR="00D0173A" w:rsidRPr="00D0173A">
        <w:rPr>
          <w:lang w:val="en-GB"/>
        </w:rPr>
        <w:t>ssets. The derivates shall be acquired to establish a foreign exchange rate and lock-out volatility and reduce the downside foreign exchange risk.</w:t>
      </w:r>
    </w:p>
    <w:p w14:paraId="491B71A6" w14:textId="5AC8CC29" w:rsidR="008C5ECB" w:rsidRPr="00CB4586" w:rsidRDefault="008C5ECB" w:rsidP="00F52BE9">
      <w:pPr>
        <w:pStyle w:val="BodyText"/>
        <w:numPr>
          <w:ilvl w:val="0"/>
          <w:numId w:val="5"/>
        </w:numPr>
        <w:spacing w:before="114" w:line="264" w:lineRule="auto"/>
        <w:ind w:right="134"/>
        <w:jc w:val="both"/>
        <w:rPr>
          <w:lang w:val="en-GB"/>
        </w:rPr>
      </w:pPr>
      <w:r w:rsidRPr="0057010A">
        <w:rPr>
          <w:u w:val="single"/>
          <w:lang w:val="en-GB"/>
        </w:rPr>
        <w:t xml:space="preserve">Minimum extent of sustainable investments with an environmental objective </w:t>
      </w:r>
      <w:r w:rsidR="0057010A" w:rsidRPr="0057010A">
        <w:rPr>
          <w:u w:val="single"/>
          <w:lang w:val="en-GB"/>
        </w:rPr>
        <w:t xml:space="preserve">aligned </w:t>
      </w:r>
      <w:r w:rsidRPr="0057010A">
        <w:rPr>
          <w:u w:val="single"/>
          <w:lang w:val="en-GB"/>
        </w:rPr>
        <w:t>with the EU Taxonomy</w:t>
      </w:r>
      <w:r w:rsidR="0057010A">
        <w:rPr>
          <w:lang w:val="en-GB"/>
        </w:rPr>
        <w:t xml:space="preserve">: </w:t>
      </w:r>
      <w:r w:rsidR="00CB4586" w:rsidRPr="00CB4586">
        <w:rPr>
          <w:lang w:val="en-GB"/>
        </w:rPr>
        <w:t xml:space="preserve">The Fund currently has a minimum proportion of 0% of sustainable investments with an environmental objective aligned with the EU Taxonomy (Taxonomy-aligned in the pie chart below), i.e., investments within the meaning of “environmentally sustainable economic activities” as defined in Article 3 of the EU Taxonomy. The Fund plans to hold sustainable investments with an environmental objective aligned with the EU Taxonomy (i.e., investments within the meaning of </w:t>
      </w:r>
      <w:r w:rsidR="00CB4586" w:rsidRPr="00CB4586">
        <w:rPr>
          <w:lang w:val="en-GB"/>
        </w:rPr>
        <w:lastRenderedPageBreak/>
        <w:t xml:space="preserve">“environmentally sustainable economic activities” as defined in Article 3 of the EU Taxonomy) in the future as the Fund follows a ‘brown-to-green’ strategy. This means that most of the investments that </w:t>
      </w:r>
      <w:r w:rsidR="00C71FCB">
        <w:rPr>
          <w:lang w:val="en-GB"/>
        </w:rPr>
        <w:t>Genesta</w:t>
      </w:r>
      <w:r w:rsidR="00CB4586" w:rsidRPr="00CB4586">
        <w:rPr>
          <w:lang w:val="en-GB"/>
        </w:rPr>
        <w:t xml:space="preserve"> acquires for the Fund are not Taxonomy-aligned at the time of the acquisition but will target Taxonomy-alignment during the ownership phase and/or develop a clear carbon and energy reduction plan for the new owner during the exit phase.</w:t>
      </w:r>
    </w:p>
    <w:tbl>
      <w:tblPr>
        <w:tblStyle w:val="PlainTable11"/>
        <w:tblpPr w:leftFromText="180" w:rightFromText="180" w:vertAnchor="text" w:horzAnchor="margin" w:tblpXSpec="right" w:tblpY="-6"/>
        <w:tblW w:w="85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ayout w:type="fixed"/>
        <w:tblLook w:val="04A0" w:firstRow="1" w:lastRow="0" w:firstColumn="1" w:lastColumn="0" w:noHBand="0" w:noVBand="1"/>
      </w:tblPr>
      <w:tblGrid>
        <w:gridCol w:w="4537"/>
        <w:gridCol w:w="3974"/>
      </w:tblGrid>
      <w:tr w:rsidR="001B2481" w:rsidRPr="00E86AE8" w14:paraId="2BEB51D3" w14:textId="77777777" w:rsidTr="001B2481">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8511" w:type="dxa"/>
            <w:gridSpan w:val="2"/>
            <w:shd w:val="clear" w:color="auto" w:fill="FAE9D7"/>
            <w:hideMark/>
          </w:tcPr>
          <w:p w14:paraId="21935331" w14:textId="77777777" w:rsidR="001B2481" w:rsidRPr="00E86AE8" w:rsidRDefault="001B2481" w:rsidP="001B2481">
            <w:pPr>
              <w:spacing w:after="160" w:line="254" w:lineRule="auto"/>
              <w:rPr>
                <w:rFonts w:eastAsia="Calibri" w:cs="Calibri"/>
                <w:i/>
                <w:iCs/>
                <w:noProof/>
                <w:color w:val="FAE9D7"/>
                <w:sz w:val="18"/>
                <w:szCs w:val="22"/>
                <w:lang w:val="en-US"/>
              </w:rPr>
            </w:pPr>
            <w:r w:rsidRPr="00E86AE8">
              <w:rPr>
                <w:rFonts w:ascii="Calibri" w:hAnsi="Calibri" w:cs="Calibri"/>
                <w:i/>
                <w:iCs/>
                <w:noProof/>
                <w:sz w:val="18"/>
                <w:szCs w:val="20"/>
                <w:lang w:val="en-US"/>
              </w:rPr>
              <w:t>The two graphs below show in green the minimum percentage of investments that are aligned with the EU Taxonomy.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tc>
      </w:tr>
      <w:tr w:rsidR="001B2481" w:rsidRPr="00965A52" w14:paraId="22119481" w14:textId="77777777" w:rsidTr="001B2481">
        <w:trPr>
          <w:cnfStyle w:val="000000100000" w:firstRow="0" w:lastRow="0" w:firstColumn="0" w:lastColumn="0" w:oddVBand="0" w:evenVBand="0" w:oddHBand="1" w:evenHBand="0" w:firstRowFirstColumn="0" w:firstRowLastColumn="0" w:lastRowFirstColumn="0" w:lastRowLastColumn="0"/>
          <w:trHeight w:val="2486"/>
        </w:trPr>
        <w:tc>
          <w:tcPr>
            <w:cnfStyle w:val="001000000000" w:firstRow="0" w:lastRow="0" w:firstColumn="1" w:lastColumn="0" w:oddVBand="0" w:evenVBand="0" w:oddHBand="0" w:evenHBand="0" w:firstRowFirstColumn="0" w:firstRowLastColumn="0" w:lastRowFirstColumn="0" w:lastRowLastColumn="0"/>
            <w:tcW w:w="4537" w:type="dxa"/>
            <w:shd w:val="clear" w:color="auto" w:fill="FAE9D7"/>
            <w:hideMark/>
          </w:tcPr>
          <w:p w14:paraId="7DAEC904" w14:textId="77777777" w:rsidR="001B2481" w:rsidRPr="00A87EAE" w:rsidRDefault="001B2481" w:rsidP="001B2481">
            <w:pPr>
              <w:rPr>
                <w:b w:val="0"/>
                <w:bCs w:val="0"/>
                <w:noProof/>
                <w:sz w:val="18"/>
              </w:rPr>
            </w:pPr>
            <w:r w:rsidRPr="00965A52">
              <w:rPr>
                <w:noProof/>
                <w:sz w:val="18"/>
              </w:rPr>
              <w:drawing>
                <wp:inline distT="0" distB="0" distL="0" distR="0" wp14:anchorId="3140429D" wp14:editId="09484599">
                  <wp:extent cx="2359479" cy="1510393"/>
                  <wp:effectExtent l="0" t="0" r="3175" b="1397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974" w:type="dxa"/>
            <w:shd w:val="clear" w:color="auto" w:fill="FAE9D7"/>
          </w:tcPr>
          <w:p w14:paraId="35629597" w14:textId="77777777" w:rsidR="001B2481" w:rsidRPr="00A87EAE" w:rsidRDefault="001B2481" w:rsidP="001B2481">
            <w:pPr>
              <w:spacing w:after="160" w:line="256" w:lineRule="auto"/>
              <w:ind w:left="37"/>
              <w:cnfStyle w:val="000000100000" w:firstRow="0" w:lastRow="0" w:firstColumn="0" w:lastColumn="0" w:oddVBand="0" w:evenVBand="0" w:oddHBand="1" w:evenHBand="0" w:firstRowFirstColumn="0" w:firstRowLastColumn="0" w:lastRowFirstColumn="0" w:lastRowLastColumn="0"/>
              <w:rPr>
                <w:rFonts w:eastAsia="Calibri" w:cs="Calibri"/>
                <w:i/>
                <w:iCs/>
                <w:noProof/>
                <w:sz w:val="18"/>
                <w:szCs w:val="22"/>
                <w:u w:val="single"/>
              </w:rPr>
            </w:pPr>
            <w:r w:rsidRPr="00965A52">
              <w:rPr>
                <w:noProof/>
                <w:sz w:val="18"/>
              </w:rPr>
              <w:drawing>
                <wp:inline distT="0" distB="0" distL="0" distR="0" wp14:anchorId="34A2B9C7" wp14:editId="61BDCDCC">
                  <wp:extent cx="2359479" cy="1510393"/>
                  <wp:effectExtent l="0" t="0" r="317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B2481" w:rsidRPr="00E86AE8" w14:paraId="5F008020" w14:textId="77777777" w:rsidTr="001B2481">
        <w:trPr>
          <w:trHeight w:val="52"/>
        </w:trPr>
        <w:tc>
          <w:tcPr>
            <w:cnfStyle w:val="001000000000" w:firstRow="0" w:lastRow="0" w:firstColumn="1" w:lastColumn="0" w:oddVBand="0" w:evenVBand="0" w:oddHBand="0" w:evenHBand="0" w:firstRowFirstColumn="0" w:firstRowLastColumn="0" w:lastRowFirstColumn="0" w:lastRowLastColumn="0"/>
            <w:tcW w:w="8511" w:type="dxa"/>
            <w:gridSpan w:val="2"/>
            <w:shd w:val="clear" w:color="auto" w:fill="FAE9D7"/>
          </w:tcPr>
          <w:p w14:paraId="177AD9C1" w14:textId="77777777" w:rsidR="001B2481" w:rsidRPr="00E86AE8" w:rsidRDefault="001B2481" w:rsidP="001B2481">
            <w:pPr>
              <w:spacing w:after="160" w:line="254" w:lineRule="auto"/>
              <w:ind w:left="37"/>
              <w:rPr>
                <w:rFonts w:ascii="Calibri" w:hAnsi="Calibri" w:cs="Calibri"/>
                <w:i/>
                <w:iCs/>
                <w:noProof/>
                <w:sz w:val="18"/>
                <w:szCs w:val="20"/>
                <w:lang w:val="en-US"/>
              </w:rPr>
            </w:pPr>
            <w:r w:rsidRPr="00E86AE8">
              <w:rPr>
                <w:rFonts w:ascii="Calibri" w:hAnsi="Calibri" w:cs="Calibri"/>
                <w:i/>
                <w:iCs/>
                <w:noProof/>
                <w:sz w:val="18"/>
                <w:szCs w:val="20"/>
                <w:lang w:val="en-US"/>
              </w:rPr>
              <w:t>*   For the purpose of these graphs, ‘sovereign bonds’ consist of all sovereign exposures</w:t>
            </w:r>
          </w:p>
        </w:tc>
      </w:tr>
    </w:tbl>
    <w:p w14:paraId="46D6C508" w14:textId="77777777" w:rsidR="008C5ECB" w:rsidRPr="00C835FF" w:rsidRDefault="008C5ECB" w:rsidP="001F5AEE">
      <w:pPr>
        <w:pStyle w:val="BodyText"/>
        <w:spacing w:before="114" w:after="120"/>
        <w:ind w:left="136" w:right="136"/>
        <w:jc w:val="both"/>
        <w:rPr>
          <w:lang w:val="en-GB"/>
        </w:rPr>
      </w:pPr>
    </w:p>
    <w:p w14:paraId="38519547" w14:textId="5F9D6FBF" w:rsidR="008C5ECB" w:rsidRPr="00E86AE8" w:rsidRDefault="008C5ECB" w:rsidP="00F52BE9">
      <w:pPr>
        <w:pStyle w:val="BodyText"/>
        <w:numPr>
          <w:ilvl w:val="0"/>
          <w:numId w:val="5"/>
        </w:numPr>
        <w:spacing w:before="114" w:line="264" w:lineRule="auto"/>
        <w:ind w:right="134"/>
        <w:jc w:val="both"/>
        <w:rPr>
          <w:lang w:val="en-US"/>
        </w:rPr>
      </w:pPr>
      <w:r w:rsidRPr="001B2481">
        <w:rPr>
          <w:u w:val="single"/>
          <w:lang w:val="en-GB"/>
        </w:rPr>
        <w:t>Minimum share of investments in transitional and enabling activities</w:t>
      </w:r>
      <w:r>
        <w:rPr>
          <w:lang w:val="en-GB"/>
        </w:rPr>
        <w:t xml:space="preserve">: </w:t>
      </w:r>
      <w:r w:rsidR="0080315B">
        <w:rPr>
          <w:lang w:val="en-GB"/>
        </w:rPr>
        <w:t>0%</w:t>
      </w:r>
      <w:r w:rsidR="001B2481">
        <w:rPr>
          <w:lang w:val="en-GB"/>
        </w:rPr>
        <w:t>.</w:t>
      </w:r>
    </w:p>
    <w:p w14:paraId="2CD8A8AD" w14:textId="644D2B11" w:rsidR="008C5ECB" w:rsidRPr="00E86AE8" w:rsidRDefault="008C5ECB" w:rsidP="00F52BE9">
      <w:pPr>
        <w:pStyle w:val="BodyText"/>
        <w:numPr>
          <w:ilvl w:val="0"/>
          <w:numId w:val="5"/>
        </w:numPr>
        <w:spacing w:before="114" w:line="264" w:lineRule="auto"/>
        <w:ind w:right="134"/>
        <w:jc w:val="both"/>
        <w:rPr>
          <w:lang w:val="en-US"/>
        </w:rPr>
      </w:pPr>
      <w:r w:rsidRPr="00143F3C">
        <w:rPr>
          <w:u w:val="single"/>
          <w:lang w:val="en-GB"/>
        </w:rPr>
        <w:t>Minimum share of sustainable investments with an environmental objective that are not aligned with the EU Taxonomy</w:t>
      </w:r>
      <w:r>
        <w:rPr>
          <w:lang w:val="en-GB"/>
        </w:rPr>
        <w:t>:</w:t>
      </w:r>
      <w:r w:rsidRPr="00225624">
        <w:rPr>
          <w:lang w:val="en-GB"/>
        </w:rPr>
        <w:t xml:space="preserve"> </w:t>
      </w:r>
      <w:r w:rsidR="0057682D" w:rsidRPr="0057682D">
        <w:rPr>
          <w:lang w:val="en-GB"/>
        </w:rPr>
        <w:t xml:space="preserve">The Fund currently does not hold sustainable investments. The Fund may hold sustainable investments with an environmental objective that are not aligned with the EU Taxonomy in the future as the Fund follows a ‘brown-to-green’ strategy. This means that most of the investments that </w:t>
      </w:r>
      <w:r w:rsidR="00C71FCB">
        <w:rPr>
          <w:lang w:val="en-GB"/>
        </w:rPr>
        <w:t>Genesta</w:t>
      </w:r>
      <w:r w:rsidR="0057682D" w:rsidRPr="0057682D">
        <w:rPr>
          <w:lang w:val="en-GB"/>
        </w:rPr>
        <w:t xml:space="preserve"> acquires for the Fund do not qualify as sustainable investments at the time of the acquisition but will target green improvements which may result in such investment becoming a sustainable investment with an environmental objective that is not aligned with the EU Taxonomy during the holding period of such asset.</w:t>
      </w:r>
    </w:p>
    <w:p w14:paraId="0ECBAD32" w14:textId="190E5E7A" w:rsidR="008C5ECB" w:rsidRPr="00E86AE8" w:rsidRDefault="008C5ECB" w:rsidP="00F52BE9">
      <w:pPr>
        <w:pStyle w:val="BodyText"/>
        <w:numPr>
          <w:ilvl w:val="0"/>
          <w:numId w:val="5"/>
        </w:numPr>
        <w:spacing w:before="114" w:line="264" w:lineRule="auto"/>
        <w:ind w:right="134"/>
        <w:jc w:val="both"/>
        <w:rPr>
          <w:lang w:val="en-US"/>
        </w:rPr>
      </w:pPr>
      <w:r w:rsidRPr="00FA28BF">
        <w:rPr>
          <w:u w:val="single"/>
          <w:lang w:val="en-GB"/>
        </w:rPr>
        <w:t>Minimum share of socially sustainable investments</w:t>
      </w:r>
      <w:r w:rsidRPr="009D4593">
        <w:rPr>
          <w:lang w:val="en-GB"/>
        </w:rPr>
        <w:t xml:space="preserve">: </w:t>
      </w:r>
      <w:r w:rsidR="001E2D40" w:rsidRPr="001E2D40">
        <w:rPr>
          <w:lang w:val="en-GB"/>
        </w:rPr>
        <w:t>The Fund’s ESG policy contains social engagement targets but the Fund currently does not hold socially sustainable investments.</w:t>
      </w:r>
    </w:p>
    <w:p w14:paraId="36C0216B" w14:textId="60BB05FF" w:rsidR="008C5ECB" w:rsidRPr="00660F5D" w:rsidRDefault="008C5ECB" w:rsidP="00F52BE9">
      <w:pPr>
        <w:pStyle w:val="BodyText"/>
        <w:numPr>
          <w:ilvl w:val="0"/>
          <w:numId w:val="5"/>
        </w:numPr>
        <w:spacing w:before="114" w:line="264" w:lineRule="auto"/>
        <w:ind w:right="134"/>
        <w:jc w:val="both"/>
        <w:rPr>
          <w:b/>
          <w:bCs/>
          <w:lang w:val="en-GB"/>
        </w:rPr>
      </w:pPr>
      <w:r w:rsidRPr="00F211B0">
        <w:rPr>
          <w:u w:val="single"/>
          <w:lang w:val="en-GB"/>
        </w:rPr>
        <w:t>Purpose and minimum</w:t>
      </w:r>
      <w:r w:rsidR="00EB5E25" w:rsidRPr="00F211B0">
        <w:rPr>
          <w:u w:val="single"/>
          <w:lang w:val="en-GB"/>
        </w:rPr>
        <w:t xml:space="preserve"> </w:t>
      </w:r>
      <w:r w:rsidRPr="00F211B0">
        <w:rPr>
          <w:u w:val="single"/>
          <w:lang w:val="en-GB"/>
        </w:rPr>
        <w:t>environmental or social safeguards</w:t>
      </w:r>
      <w:r w:rsidRPr="00F211B0" w:rsidDel="00DE36EB">
        <w:rPr>
          <w:u w:val="single"/>
          <w:lang w:val="en-GB"/>
        </w:rPr>
        <w:t xml:space="preserve"> </w:t>
      </w:r>
      <w:r w:rsidRPr="00F211B0">
        <w:rPr>
          <w:u w:val="single"/>
          <w:lang w:val="en-GB"/>
        </w:rPr>
        <w:t xml:space="preserve">of investments that are not aligned with environmental or social characteristics </w:t>
      </w:r>
      <w:r w:rsidR="00F211B0">
        <w:rPr>
          <w:u w:val="single"/>
          <w:lang w:val="en-GB"/>
        </w:rPr>
        <w:t>(</w:t>
      </w:r>
      <w:r w:rsidRPr="00F211B0">
        <w:rPr>
          <w:u w:val="single"/>
          <w:lang w:val="en-GB"/>
        </w:rPr>
        <w:t>see “#2 Other” in the overview above)</w:t>
      </w:r>
      <w:r w:rsidRPr="00660F5D">
        <w:rPr>
          <w:lang w:val="en-GB"/>
        </w:rPr>
        <w:t xml:space="preserve">: </w:t>
      </w:r>
      <w:r w:rsidR="00500185" w:rsidRPr="00500185">
        <w:rPr>
          <w:lang w:val="en-GB"/>
        </w:rPr>
        <w:t xml:space="preserve">Investment included under “#2 Other” include cash and derivatives. Furthermore also certain </w:t>
      </w:r>
      <w:r w:rsidR="00AF1F55">
        <w:rPr>
          <w:lang w:val="en-GB"/>
        </w:rPr>
        <w:t>real estate asset</w:t>
      </w:r>
      <w:r w:rsidR="00500185" w:rsidRPr="00500185">
        <w:rPr>
          <w:lang w:val="en-GB"/>
        </w:rPr>
        <w:t xml:space="preserve">s in the residential sector may be included under “#2 Other” unless a </w:t>
      </w:r>
      <w:r w:rsidR="00AF1F55">
        <w:rPr>
          <w:lang w:val="en-GB"/>
        </w:rPr>
        <w:t>real estate asset</w:t>
      </w:r>
      <w:r w:rsidR="00500185" w:rsidRPr="00500185">
        <w:rPr>
          <w:lang w:val="en-GB"/>
        </w:rPr>
        <w:t xml:space="preserve">s pertaining to the residential sector is aligned with the environmental and social characteristics promoted by the Fund in which case such </w:t>
      </w:r>
      <w:r w:rsidR="00AF1F55">
        <w:rPr>
          <w:lang w:val="en-GB"/>
        </w:rPr>
        <w:t>real estate asset</w:t>
      </w:r>
      <w:r w:rsidR="00500185" w:rsidRPr="00500185">
        <w:rPr>
          <w:lang w:val="en-GB"/>
        </w:rPr>
        <w:t xml:space="preserve"> pertaining to the residential sector would be included under “#1 Aligned with E/S characteristics”.</w:t>
      </w:r>
    </w:p>
    <w:p w14:paraId="1CF613EF" w14:textId="77777777" w:rsidR="008C5ECB" w:rsidRDefault="008C5ECB" w:rsidP="001F5AEE">
      <w:pPr>
        <w:pStyle w:val="BodyText"/>
        <w:spacing w:before="114" w:after="120"/>
        <w:ind w:left="136" w:right="136"/>
        <w:jc w:val="both"/>
        <w:rPr>
          <w:lang w:val="en-GB"/>
        </w:rPr>
      </w:pPr>
    </w:p>
    <w:p w14:paraId="2C100972" w14:textId="72244659" w:rsidR="00C35B42" w:rsidRPr="00C35B42" w:rsidRDefault="00C35B42" w:rsidP="001F5AEE">
      <w:pPr>
        <w:pStyle w:val="BodyText"/>
        <w:keepNext/>
        <w:spacing w:before="114"/>
        <w:ind w:left="136" w:right="136"/>
        <w:contextualSpacing/>
        <w:jc w:val="both"/>
        <w:rPr>
          <w:b/>
          <w:bCs/>
          <w:lang w:val="en-GB"/>
        </w:rPr>
      </w:pPr>
      <w:r w:rsidRPr="00C35B42">
        <w:rPr>
          <w:b/>
          <w:bCs/>
          <w:lang w:val="en-GB"/>
        </w:rPr>
        <w:t>Monitoring of environmental or social characteristics</w:t>
      </w:r>
    </w:p>
    <w:p w14:paraId="6C7B27E7" w14:textId="6D75D6BE" w:rsidR="00C35B42" w:rsidRDefault="00D640B4" w:rsidP="001F5AEE">
      <w:pPr>
        <w:pStyle w:val="BodyText"/>
        <w:spacing w:before="114" w:after="120"/>
        <w:ind w:left="136" w:right="136"/>
        <w:jc w:val="both"/>
        <w:rPr>
          <w:lang w:val="en-GB"/>
        </w:rPr>
      </w:pPr>
      <w:r>
        <w:rPr>
          <w:lang w:val="en-GB"/>
        </w:rPr>
        <w:t>Throughout</w:t>
      </w:r>
      <w:r w:rsidR="00C80E96">
        <w:rPr>
          <w:lang w:val="en-GB"/>
        </w:rPr>
        <w:t xml:space="preserve"> the lifecycle of the Fund, </w:t>
      </w:r>
      <w:r w:rsidR="00C80E96" w:rsidRPr="00C80E96">
        <w:rPr>
          <w:lang w:val="en-GB"/>
        </w:rPr>
        <w:t xml:space="preserve">the promoted environmental and social characteristics of </w:t>
      </w:r>
      <w:r>
        <w:rPr>
          <w:lang w:val="en-GB"/>
        </w:rPr>
        <w:t xml:space="preserve">the </w:t>
      </w:r>
      <w:r w:rsidR="00C80E96" w:rsidRPr="00C80E96">
        <w:rPr>
          <w:lang w:val="en-GB"/>
        </w:rPr>
        <w:t xml:space="preserve">investments </w:t>
      </w:r>
      <w:r>
        <w:rPr>
          <w:lang w:val="en-GB"/>
        </w:rPr>
        <w:t xml:space="preserve">are monitored </w:t>
      </w:r>
      <w:r w:rsidR="00C80E96" w:rsidRPr="00C80E96">
        <w:rPr>
          <w:lang w:val="en-GB"/>
        </w:rPr>
        <w:t xml:space="preserve">using </w:t>
      </w:r>
      <w:r w:rsidR="00C32EC2">
        <w:rPr>
          <w:lang w:val="en-GB"/>
        </w:rPr>
        <w:t xml:space="preserve">the </w:t>
      </w:r>
      <w:r w:rsidR="00C80E96" w:rsidRPr="00C80E96">
        <w:rPr>
          <w:lang w:val="en-GB"/>
        </w:rPr>
        <w:t xml:space="preserve">sustainability indicators </w:t>
      </w:r>
      <w:r w:rsidR="00C32EC2">
        <w:rPr>
          <w:lang w:val="en-GB"/>
        </w:rPr>
        <w:t>set out in the table</w:t>
      </w:r>
      <w:r w:rsidR="00664E03">
        <w:rPr>
          <w:lang w:val="en-GB"/>
        </w:rPr>
        <w:t>s</w:t>
      </w:r>
      <w:r w:rsidR="00C32EC2">
        <w:rPr>
          <w:lang w:val="en-GB"/>
        </w:rPr>
        <w:t xml:space="preserve"> above</w:t>
      </w:r>
      <w:r>
        <w:rPr>
          <w:lang w:val="en-GB"/>
        </w:rPr>
        <w:t xml:space="preserve">. </w:t>
      </w:r>
      <w:r w:rsidR="00167FAD">
        <w:rPr>
          <w:lang w:val="en-GB"/>
        </w:rPr>
        <w:t>According to Genesta</w:t>
      </w:r>
      <w:r w:rsidR="003336B2">
        <w:rPr>
          <w:lang w:val="en-GB"/>
        </w:rPr>
        <w:t>’</w:t>
      </w:r>
      <w:r w:rsidR="00167FAD">
        <w:rPr>
          <w:lang w:val="en-GB"/>
        </w:rPr>
        <w:t xml:space="preserve">s </w:t>
      </w:r>
      <w:r w:rsidR="00046394">
        <w:rPr>
          <w:lang w:val="en-GB"/>
        </w:rPr>
        <w:t>r</w:t>
      </w:r>
      <w:r w:rsidR="00167FAD">
        <w:rPr>
          <w:lang w:val="en-GB"/>
        </w:rPr>
        <w:t xml:space="preserve">esponsible </w:t>
      </w:r>
      <w:r w:rsidR="00046394">
        <w:rPr>
          <w:lang w:val="en-GB"/>
        </w:rPr>
        <w:t>i</w:t>
      </w:r>
      <w:r w:rsidR="00167FAD">
        <w:rPr>
          <w:lang w:val="en-GB"/>
        </w:rPr>
        <w:t xml:space="preserve">nvestment </w:t>
      </w:r>
      <w:r w:rsidR="00046394">
        <w:rPr>
          <w:lang w:val="en-GB"/>
        </w:rPr>
        <w:t>p</w:t>
      </w:r>
      <w:r w:rsidR="00167FAD">
        <w:rPr>
          <w:lang w:val="en-GB"/>
        </w:rPr>
        <w:t>olicy,</w:t>
      </w:r>
      <w:r w:rsidR="004A58A2">
        <w:rPr>
          <w:lang w:val="en-GB"/>
        </w:rPr>
        <w:t xml:space="preserve"> the</w:t>
      </w:r>
      <w:r w:rsidR="004A58A2" w:rsidRPr="004A58A2">
        <w:rPr>
          <w:lang w:val="en-GB"/>
        </w:rPr>
        <w:t xml:space="preserve"> </w:t>
      </w:r>
      <w:r w:rsidR="004A58A2" w:rsidRPr="00223DD4">
        <w:rPr>
          <w:lang w:val="en-GB"/>
        </w:rPr>
        <w:t>environmental and social characteristics</w:t>
      </w:r>
      <w:r w:rsidR="00167FAD">
        <w:rPr>
          <w:lang w:val="en-GB"/>
        </w:rPr>
        <w:t xml:space="preserve"> </w:t>
      </w:r>
      <w:r w:rsidR="004A58A2">
        <w:rPr>
          <w:lang w:val="en-GB"/>
        </w:rPr>
        <w:t xml:space="preserve">are monitored during the </w:t>
      </w:r>
      <w:r w:rsidR="00D47D8B">
        <w:rPr>
          <w:lang w:val="en-GB"/>
        </w:rPr>
        <w:t>acquisition</w:t>
      </w:r>
      <w:r w:rsidR="004A58A2">
        <w:rPr>
          <w:lang w:val="en-GB"/>
        </w:rPr>
        <w:t xml:space="preserve"> phase through the due diligence</w:t>
      </w:r>
      <w:r w:rsidR="00D47D8B">
        <w:rPr>
          <w:lang w:val="en-GB"/>
        </w:rPr>
        <w:t xml:space="preserve"> processes, as well as the development</w:t>
      </w:r>
      <w:r w:rsidR="00837EA0">
        <w:rPr>
          <w:lang w:val="en-GB"/>
        </w:rPr>
        <w:t xml:space="preserve"> and ownership phase</w:t>
      </w:r>
      <w:r w:rsidR="00124540">
        <w:rPr>
          <w:lang w:val="en-GB"/>
        </w:rPr>
        <w:t xml:space="preserve">, where risks are mitigated and </w:t>
      </w:r>
      <w:r w:rsidR="00D51D02">
        <w:rPr>
          <w:lang w:val="en-GB"/>
        </w:rPr>
        <w:t xml:space="preserve">an active monitoring of environmental performance </w:t>
      </w:r>
      <w:r w:rsidR="006D246E">
        <w:rPr>
          <w:lang w:val="en-GB"/>
        </w:rPr>
        <w:t>key performance indicators (“</w:t>
      </w:r>
      <w:r w:rsidR="006D246E" w:rsidRPr="006D246E">
        <w:rPr>
          <w:b/>
          <w:bCs/>
          <w:lang w:val="en-GB"/>
        </w:rPr>
        <w:t>KPIs</w:t>
      </w:r>
      <w:r w:rsidR="006D246E">
        <w:rPr>
          <w:lang w:val="en-GB"/>
        </w:rPr>
        <w:t xml:space="preserve">”) </w:t>
      </w:r>
      <w:r w:rsidR="00D51D02">
        <w:rPr>
          <w:lang w:val="en-GB"/>
        </w:rPr>
        <w:t xml:space="preserve">are </w:t>
      </w:r>
      <w:r w:rsidR="00290681">
        <w:rPr>
          <w:lang w:val="en-GB"/>
        </w:rPr>
        <w:t>ensured</w:t>
      </w:r>
      <w:r w:rsidR="00837EA0">
        <w:rPr>
          <w:lang w:val="en-GB"/>
        </w:rPr>
        <w:t>.</w:t>
      </w:r>
      <w:r w:rsidR="00290681">
        <w:rPr>
          <w:lang w:val="en-GB"/>
        </w:rPr>
        <w:t xml:space="preserve"> </w:t>
      </w:r>
      <w:r w:rsidR="00223DD4" w:rsidRPr="00223DD4">
        <w:rPr>
          <w:lang w:val="en-GB"/>
        </w:rPr>
        <w:t>Th</w:t>
      </w:r>
      <w:r w:rsidR="00225BD4">
        <w:rPr>
          <w:lang w:val="en-GB"/>
        </w:rPr>
        <w:t>us, the</w:t>
      </w:r>
      <w:r w:rsidR="00223DD4" w:rsidRPr="00223DD4">
        <w:rPr>
          <w:lang w:val="en-GB"/>
        </w:rPr>
        <w:t xml:space="preserve"> environmental and social characteristics are assessed on an on-going </w:t>
      </w:r>
      <w:r w:rsidR="00223DD4" w:rsidRPr="00223DD4">
        <w:rPr>
          <w:lang w:val="en-GB"/>
        </w:rPr>
        <w:lastRenderedPageBreak/>
        <w:t>basis</w:t>
      </w:r>
      <w:r w:rsidR="00225BD4">
        <w:rPr>
          <w:lang w:val="en-GB"/>
        </w:rPr>
        <w:t>.</w:t>
      </w:r>
    </w:p>
    <w:p w14:paraId="18C7A222" w14:textId="25A67541" w:rsidR="00BD5084" w:rsidRDefault="00BD5084" w:rsidP="001F5AEE">
      <w:pPr>
        <w:pStyle w:val="BodyText"/>
        <w:spacing w:before="114" w:after="120"/>
        <w:ind w:left="136" w:right="136"/>
        <w:jc w:val="both"/>
        <w:rPr>
          <w:lang w:val="en-GB"/>
        </w:rPr>
      </w:pPr>
      <w:r>
        <w:rPr>
          <w:lang w:val="en-GB"/>
        </w:rPr>
        <w:t xml:space="preserve">After the </w:t>
      </w:r>
      <w:r w:rsidR="00BB761F">
        <w:rPr>
          <w:lang w:val="en-GB"/>
        </w:rPr>
        <w:t>due diligence</w:t>
      </w:r>
      <w:r>
        <w:rPr>
          <w:lang w:val="en-GB"/>
        </w:rPr>
        <w:t xml:space="preserve"> process</w:t>
      </w:r>
      <w:r w:rsidR="00BB761F">
        <w:rPr>
          <w:lang w:val="en-GB"/>
        </w:rPr>
        <w:t xml:space="preserve"> with a view to ESG</w:t>
      </w:r>
      <w:r>
        <w:rPr>
          <w:lang w:val="en-GB"/>
        </w:rPr>
        <w:t>, Genesta’s ESG managers</w:t>
      </w:r>
      <w:r w:rsidR="005576F0">
        <w:rPr>
          <w:lang w:val="en-GB"/>
        </w:rPr>
        <w:t>,</w:t>
      </w:r>
      <w:r w:rsidR="00E406F3">
        <w:rPr>
          <w:lang w:val="en-GB"/>
        </w:rPr>
        <w:t xml:space="preserve"> i.e. senior </w:t>
      </w:r>
      <w:r w:rsidR="00372E3D">
        <w:rPr>
          <w:lang w:val="en-GB"/>
        </w:rPr>
        <w:t xml:space="preserve">personnel responsible for overseeing </w:t>
      </w:r>
      <w:r w:rsidR="005804AF">
        <w:rPr>
          <w:lang w:val="en-GB"/>
        </w:rPr>
        <w:t xml:space="preserve">Genesta’s </w:t>
      </w:r>
      <w:r w:rsidR="003E0DCD">
        <w:rPr>
          <w:lang w:val="en-GB"/>
        </w:rPr>
        <w:t>ESG targets,</w:t>
      </w:r>
      <w:r w:rsidR="00F149B8" w:rsidRPr="006138C8">
        <w:rPr>
          <w:lang w:val="en-GB"/>
        </w:rPr>
        <w:t xml:space="preserve"> </w:t>
      </w:r>
      <w:r>
        <w:rPr>
          <w:lang w:val="en-GB"/>
        </w:rPr>
        <w:t xml:space="preserve">develop an ESG business plan for each of the new acquisitions which is in line with the Fund targets. The ESG business plan ensures that the assets are renovated and maintained in line with the environmental and social characteristics of the Fund. </w:t>
      </w:r>
    </w:p>
    <w:p w14:paraId="3DA3A8FA" w14:textId="0126EC6E" w:rsidR="00BD5084" w:rsidRDefault="00BD5084" w:rsidP="001F5AEE">
      <w:pPr>
        <w:pStyle w:val="BodyText"/>
        <w:spacing w:before="114" w:after="120"/>
        <w:ind w:left="136" w:right="136"/>
        <w:jc w:val="both"/>
        <w:rPr>
          <w:lang w:val="en-GB"/>
        </w:rPr>
      </w:pPr>
      <w:r>
        <w:rPr>
          <w:lang w:val="en-GB"/>
        </w:rPr>
        <w:t xml:space="preserve">The monitoring activities are conducted using internal and external control mechanisms. The internal control mechanisms include reports to </w:t>
      </w:r>
      <w:r w:rsidR="00E72818">
        <w:rPr>
          <w:lang w:val="en-GB"/>
        </w:rPr>
        <w:t>Genesta</w:t>
      </w:r>
      <w:r>
        <w:rPr>
          <w:lang w:val="en-GB"/>
        </w:rPr>
        <w:t xml:space="preserve"> and </w:t>
      </w:r>
      <w:r w:rsidRPr="00E400C9">
        <w:rPr>
          <w:lang w:val="en-GB"/>
        </w:rPr>
        <w:t xml:space="preserve">Genesta’s ESG </w:t>
      </w:r>
      <w:r w:rsidR="00DD18CC">
        <w:rPr>
          <w:lang w:val="en-GB"/>
        </w:rPr>
        <w:t xml:space="preserve">steering </w:t>
      </w:r>
      <w:r w:rsidRPr="00E400C9">
        <w:rPr>
          <w:lang w:val="en-GB"/>
        </w:rPr>
        <w:t>committee</w:t>
      </w:r>
      <w:r>
        <w:rPr>
          <w:lang w:val="en-GB"/>
        </w:rPr>
        <w:t xml:space="preserve">. Specifically, the ESG managers are responsible to review the business plan and report progress to </w:t>
      </w:r>
      <w:r w:rsidR="00E72818">
        <w:rPr>
          <w:lang w:val="en-GB"/>
        </w:rPr>
        <w:t>Genesta</w:t>
      </w:r>
      <w:r>
        <w:rPr>
          <w:lang w:val="en-GB"/>
        </w:rPr>
        <w:t xml:space="preserve"> and </w:t>
      </w:r>
      <w:bookmarkStart w:id="0" w:name="_Hlk109820093"/>
      <w:r>
        <w:rPr>
          <w:lang w:val="en-GB"/>
        </w:rPr>
        <w:t xml:space="preserve">Genesta’s ESG </w:t>
      </w:r>
      <w:r w:rsidR="00F53EB2">
        <w:rPr>
          <w:lang w:val="en-GB"/>
        </w:rPr>
        <w:t xml:space="preserve">steering </w:t>
      </w:r>
      <w:r>
        <w:rPr>
          <w:lang w:val="en-GB"/>
        </w:rPr>
        <w:t xml:space="preserve">committee </w:t>
      </w:r>
      <w:bookmarkEnd w:id="0"/>
      <w:r>
        <w:rPr>
          <w:lang w:val="en-GB"/>
        </w:rPr>
        <w:t xml:space="preserve">once a year. The external control mechanisms </w:t>
      </w:r>
      <w:r w:rsidR="006D246E">
        <w:rPr>
          <w:lang w:val="en-GB"/>
        </w:rPr>
        <w:t xml:space="preserve">include </w:t>
      </w:r>
      <w:r>
        <w:rPr>
          <w:lang w:val="en-GB"/>
        </w:rPr>
        <w:t xml:space="preserve">an independent assurance program provided by a third-party ESG specialist. Specifically, environmental and social </w:t>
      </w:r>
      <w:r w:rsidRPr="00C835FF">
        <w:rPr>
          <w:lang w:val="en-GB"/>
        </w:rPr>
        <w:t>KPIs</w:t>
      </w:r>
      <w:r>
        <w:rPr>
          <w:lang w:val="en-GB"/>
        </w:rPr>
        <w:t xml:space="preserve"> are reported in the quarterly and annual sustainability reports and assured by the independent assurance program.</w:t>
      </w:r>
    </w:p>
    <w:p w14:paraId="2A65AF2A" w14:textId="19FDB22E" w:rsidR="00C35B42" w:rsidRDefault="00C35B42" w:rsidP="001F5AEE">
      <w:pPr>
        <w:pStyle w:val="BodyText"/>
        <w:spacing w:before="114" w:after="120"/>
        <w:ind w:left="136" w:right="136"/>
        <w:jc w:val="both"/>
        <w:rPr>
          <w:lang w:val="en-GB"/>
        </w:rPr>
      </w:pPr>
    </w:p>
    <w:p w14:paraId="34A952F9" w14:textId="257C09F8" w:rsidR="00C35B42" w:rsidRPr="00C35B42" w:rsidRDefault="00C35B42" w:rsidP="001F5AEE">
      <w:pPr>
        <w:pStyle w:val="BodyText"/>
        <w:keepNext/>
        <w:spacing w:before="114"/>
        <w:ind w:left="136" w:right="136"/>
        <w:contextualSpacing/>
        <w:jc w:val="both"/>
        <w:rPr>
          <w:b/>
          <w:bCs/>
          <w:lang w:val="en-GB"/>
        </w:rPr>
      </w:pPr>
      <w:r w:rsidRPr="00C35B42">
        <w:rPr>
          <w:b/>
          <w:bCs/>
          <w:lang w:val="en-GB"/>
        </w:rPr>
        <w:t>Methodologies</w:t>
      </w:r>
      <w:r w:rsidR="00B76969" w:rsidRPr="00FE3FE9">
        <w:rPr>
          <w:b/>
          <w:bCs/>
          <w:lang w:val="en-GB"/>
        </w:rPr>
        <w:t xml:space="preserve"> </w:t>
      </w:r>
      <w:r w:rsidR="00B76969" w:rsidRPr="00B76969">
        <w:rPr>
          <w:b/>
          <w:bCs/>
          <w:lang w:val="en-GB"/>
        </w:rPr>
        <w:t>for environmental or social characteristics</w:t>
      </w:r>
    </w:p>
    <w:p w14:paraId="4BB6B736" w14:textId="2163AAFD" w:rsidR="00C35B42" w:rsidRDefault="002D63CC" w:rsidP="001F5AEE">
      <w:pPr>
        <w:pStyle w:val="BodyText"/>
        <w:spacing w:before="114" w:after="120"/>
        <w:ind w:left="136" w:right="136"/>
        <w:jc w:val="both"/>
        <w:rPr>
          <w:lang w:val="en-GB"/>
        </w:rPr>
      </w:pPr>
      <w:r>
        <w:rPr>
          <w:lang w:val="en-GB"/>
        </w:rPr>
        <w:t xml:space="preserve">The Fund uses </w:t>
      </w:r>
      <w:r w:rsidR="00664E03">
        <w:rPr>
          <w:lang w:val="en-GB"/>
        </w:rPr>
        <w:t>the</w:t>
      </w:r>
      <w:r w:rsidR="00664E03" w:rsidRPr="00B05017">
        <w:rPr>
          <w:lang w:val="en-GB"/>
        </w:rPr>
        <w:t xml:space="preserve"> </w:t>
      </w:r>
      <w:r w:rsidR="00B05017" w:rsidRPr="00B05017">
        <w:rPr>
          <w:lang w:val="en-GB"/>
        </w:rPr>
        <w:t xml:space="preserve">sustainability indicators </w:t>
      </w:r>
      <w:r w:rsidR="00664E03">
        <w:rPr>
          <w:lang w:val="en-GB"/>
        </w:rPr>
        <w:t xml:space="preserve">and measurements set out in the tables above to measure </w:t>
      </w:r>
      <w:r w:rsidR="00B05017" w:rsidRPr="00B05017">
        <w:rPr>
          <w:lang w:val="en-GB"/>
        </w:rPr>
        <w:t>how the promoted social and environmental characteristics</w:t>
      </w:r>
      <w:r w:rsidR="00B05017">
        <w:rPr>
          <w:lang w:val="en-GB"/>
        </w:rPr>
        <w:t xml:space="preserve"> of the Fund are met.</w:t>
      </w:r>
    </w:p>
    <w:p w14:paraId="49A0F8F8" w14:textId="77777777" w:rsidR="00BB5636" w:rsidRDefault="00BB5636" w:rsidP="001F5AEE">
      <w:pPr>
        <w:pStyle w:val="BodyText"/>
        <w:spacing w:before="114" w:after="120"/>
        <w:ind w:left="136" w:right="136"/>
        <w:jc w:val="both"/>
        <w:rPr>
          <w:lang w:val="en-GB"/>
        </w:rPr>
      </w:pPr>
    </w:p>
    <w:p w14:paraId="6C5C7281" w14:textId="3F7C2D77" w:rsidR="00C35B42" w:rsidRDefault="00C35B42" w:rsidP="001F5AEE">
      <w:pPr>
        <w:pStyle w:val="BodyText"/>
        <w:keepNext/>
        <w:spacing w:before="114"/>
        <w:ind w:left="136" w:right="136"/>
        <w:contextualSpacing/>
        <w:jc w:val="both"/>
        <w:rPr>
          <w:b/>
          <w:bCs/>
          <w:lang w:val="en-GB"/>
        </w:rPr>
      </w:pPr>
      <w:r w:rsidRPr="00C35B42">
        <w:rPr>
          <w:b/>
          <w:bCs/>
          <w:lang w:val="en-GB"/>
        </w:rPr>
        <w:t>Data sources and processing</w:t>
      </w:r>
    </w:p>
    <w:p w14:paraId="47D42DCF" w14:textId="1D93B8F2" w:rsidR="00C35B42" w:rsidRDefault="00821BE5" w:rsidP="001F5AEE">
      <w:pPr>
        <w:pStyle w:val="BodyText"/>
        <w:spacing w:before="114" w:after="120"/>
        <w:ind w:left="136" w:right="136"/>
        <w:jc w:val="both"/>
        <w:rPr>
          <w:lang w:val="en-GB"/>
        </w:rPr>
      </w:pPr>
      <w:r>
        <w:rPr>
          <w:lang w:val="en-GB"/>
        </w:rPr>
        <w:t>T</w:t>
      </w:r>
      <w:r w:rsidRPr="00821BE5">
        <w:rPr>
          <w:lang w:val="en-GB"/>
        </w:rPr>
        <w:t>he data sources used to attain each of the environmental or social characteristics promoted by the financial product</w:t>
      </w:r>
      <w:r>
        <w:rPr>
          <w:lang w:val="en-GB"/>
        </w:rPr>
        <w:t xml:space="preserve"> include,</w:t>
      </w:r>
      <w:r w:rsidRPr="00821BE5">
        <w:rPr>
          <w:lang w:val="en-GB"/>
        </w:rPr>
        <w:t xml:space="preserve"> </w:t>
      </w:r>
      <w:r>
        <w:rPr>
          <w:lang w:val="en-GB"/>
        </w:rPr>
        <w:t>but are not limited to, the following:</w:t>
      </w:r>
    </w:p>
    <w:p w14:paraId="549B24A8" w14:textId="20B07D60" w:rsidR="00821BE5" w:rsidRDefault="00D07A2A" w:rsidP="00C53926">
      <w:pPr>
        <w:pStyle w:val="BodyText"/>
        <w:numPr>
          <w:ilvl w:val="0"/>
          <w:numId w:val="1"/>
        </w:numPr>
        <w:spacing w:before="114"/>
        <w:ind w:right="134"/>
        <w:contextualSpacing/>
        <w:jc w:val="both"/>
        <w:rPr>
          <w:lang w:val="en-GB"/>
        </w:rPr>
      </w:pPr>
      <w:r>
        <w:rPr>
          <w:lang w:val="en-GB"/>
        </w:rPr>
        <w:t>Energy Bills</w:t>
      </w:r>
      <w:r w:rsidR="00BB5636">
        <w:rPr>
          <w:lang w:val="en-GB"/>
        </w:rPr>
        <w:t>;</w:t>
      </w:r>
    </w:p>
    <w:p w14:paraId="2DC696BB" w14:textId="77777777" w:rsidR="00BB5636" w:rsidRDefault="00BB5636" w:rsidP="00BB5636">
      <w:pPr>
        <w:pStyle w:val="BodyText"/>
        <w:spacing w:before="114"/>
        <w:ind w:left="858" w:right="134"/>
        <w:contextualSpacing/>
        <w:jc w:val="both"/>
        <w:rPr>
          <w:lang w:val="en-GB"/>
        </w:rPr>
      </w:pPr>
    </w:p>
    <w:p w14:paraId="02986FFC" w14:textId="7EAB0A6C" w:rsidR="00D07A2A" w:rsidRDefault="002153A4" w:rsidP="00C53926">
      <w:pPr>
        <w:pStyle w:val="BodyText"/>
        <w:numPr>
          <w:ilvl w:val="0"/>
          <w:numId w:val="1"/>
        </w:numPr>
        <w:spacing w:before="114"/>
        <w:ind w:right="134"/>
        <w:contextualSpacing/>
        <w:jc w:val="both"/>
        <w:rPr>
          <w:lang w:val="en-GB"/>
        </w:rPr>
      </w:pPr>
      <w:r>
        <w:rPr>
          <w:lang w:val="en-GB"/>
        </w:rPr>
        <w:t>Waste hauler bills and statistics</w:t>
      </w:r>
      <w:r w:rsidR="00BB5636">
        <w:rPr>
          <w:lang w:val="en-GB"/>
        </w:rPr>
        <w:t>;</w:t>
      </w:r>
    </w:p>
    <w:p w14:paraId="02BBC7A0" w14:textId="77777777" w:rsidR="00BB5636" w:rsidRDefault="00BB5636" w:rsidP="00BB5636">
      <w:pPr>
        <w:pStyle w:val="BodyText"/>
        <w:spacing w:before="114"/>
        <w:ind w:left="858" w:right="134"/>
        <w:contextualSpacing/>
        <w:jc w:val="both"/>
        <w:rPr>
          <w:lang w:val="en-GB"/>
        </w:rPr>
      </w:pPr>
    </w:p>
    <w:p w14:paraId="38CE2AB2" w14:textId="3D8E4346" w:rsidR="002153A4" w:rsidRDefault="002153A4" w:rsidP="00C53926">
      <w:pPr>
        <w:pStyle w:val="BodyText"/>
        <w:numPr>
          <w:ilvl w:val="0"/>
          <w:numId w:val="1"/>
        </w:numPr>
        <w:spacing w:before="114"/>
        <w:ind w:right="134"/>
        <w:contextualSpacing/>
        <w:jc w:val="both"/>
        <w:rPr>
          <w:lang w:val="en-GB"/>
        </w:rPr>
      </w:pPr>
      <w:r>
        <w:rPr>
          <w:lang w:val="en-GB"/>
        </w:rPr>
        <w:t>Water</w:t>
      </w:r>
      <w:r w:rsidR="00FD788E">
        <w:rPr>
          <w:lang w:val="en-GB"/>
        </w:rPr>
        <w:t xml:space="preserve"> </w:t>
      </w:r>
      <w:r>
        <w:rPr>
          <w:lang w:val="en-GB"/>
        </w:rPr>
        <w:t>bills</w:t>
      </w:r>
      <w:r w:rsidR="00BB5636">
        <w:rPr>
          <w:lang w:val="en-GB"/>
        </w:rPr>
        <w:t>;</w:t>
      </w:r>
    </w:p>
    <w:p w14:paraId="15B7A67B" w14:textId="77777777" w:rsidR="00BB5636" w:rsidRDefault="00BB5636" w:rsidP="00BB5636">
      <w:pPr>
        <w:pStyle w:val="BodyText"/>
        <w:spacing w:before="114"/>
        <w:ind w:left="858" w:right="134"/>
        <w:contextualSpacing/>
        <w:jc w:val="both"/>
        <w:rPr>
          <w:lang w:val="en-GB"/>
        </w:rPr>
      </w:pPr>
    </w:p>
    <w:p w14:paraId="4D93AF36" w14:textId="6ABDC89D" w:rsidR="002153A4" w:rsidRDefault="002153A4" w:rsidP="00C53926">
      <w:pPr>
        <w:pStyle w:val="BodyText"/>
        <w:numPr>
          <w:ilvl w:val="0"/>
          <w:numId w:val="1"/>
        </w:numPr>
        <w:spacing w:before="114"/>
        <w:ind w:right="134"/>
        <w:contextualSpacing/>
        <w:jc w:val="both"/>
        <w:rPr>
          <w:lang w:val="en-GB"/>
        </w:rPr>
      </w:pPr>
      <w:r>
        <w:rPr>
          <w:lang w:val="en-GB"/>
        </w:rPr>
        <w:t>Meter readings</w:t>
      </w:r>
      <w:r w:rsidR="0061175E">
        <w:rPr>
          <w:lang w:val="en-GB"/>
        </w:rPr>
        <w:t xml:space="preserve"> (</w:t>
      </w:r>
      <w:r w:rsidR="00DB7100">
        <w:rPr>
          <w:lang w:val="en-GB"/>
        </w:rPr>
        <w:t xml:space="preserve">preferred </w:t>
      </w:r>
      <w:r w:rsidR="0061175E">
        <w:rPr>
          <w:lang w:val="en-GB"/>
        </w:rPr>
        <w:t>automated</w:t>
      </w:r>
      <w:r w:rsidR="00B63B6F">
        <w:rPr>
          <w:lang w:val="en-GB"/>
        </w:rPr>
        <w:t xml:space="preserve"> </w:t>
      </w:r>
      <w:r w:rsidR="00DB7100">
        <w:rPr>
          <w:lang w:val="en-GB"/>
        </w:rPr>
        <w:t xml:space="preserve">readings. </w:t>
      </w:r>
      <w:r w:rsidR="00090AE8">
        <w:rPr>
          <w:lang w:val="en-GB"/>
        </w:rPr>
        <w:t>Only i</w:t>
      </w:r>
      <w:r w:rsidR="00B63B6F">
        <w:rPr>
          <w:lang w:val="en-GB"/>
        </w:rPr>
        <w:t>f not availabl</w:t>
      </w:r>
      <w:r w:rsidR="00090AE8">
        <w:rPr>
          <w:lang w:val="en-GB"/>
        </w:rPr>
        <w:t>e</w:t>
      </w:r>
      <w:r w:rsidR="00B63B6F">
        <w:rPr>
          <w:lang w:val="en-GB"/>
        </w:rPr>
        <w:t xml:space="preserve"> manual</w:t>
      </w:r>
      <w:r w:rsidR="00090AE8">
        <w:rPr>
          <w:lang w:val="en-GB"/>
        </w:rPr>
        <w:t xml:space="preserve"> readings</w:t>
      </w:r>
      <w:r w:rsidR="00B63B6F">
        <w:rPr>
          <w:lang w:val="en-GB"/>
        </w:rPr>
        <w:t>)</w:t>
      </w:r>
      <w:r w:rsidR="00BB5636">
        <w:rPr>
          <w:lang w:val="en-GB"/>
        </w:rPr>
        <w:t>;</w:t>
      </w:r>
    </w:p>
    <w:p w14:paraId="0DC60D13" w14:textId="77777777" w:rsidR="00BB5636" w:rsidRDefault="00BB5636" w:rsidP="00BB5636">
      <w:pPr>
        <w:pStyle w:val="BodyText"/>
        <w:spacing w:before="114"/>
        <w:ind w:left="858" w:right="134"/>
        <w:contextualSpacing/>
        <w:jc w:val="both"/>
        <w:rPr>
          <w:lang w:val="en-GB"/>
        </w:rPr>
      </w:pPr>
    </w:p>
    <w:p w14:paraId="06162F9F" w14:textId="0A7C36A2" w:rsidR="00F06C5D" w:rsidRDefault="00552E51" w:rsidP="00C53926">
      <w:pPr>
        <w:pStyle w:val="BodyText"/>
        <w:numPr>
          <w:ilvl w:val="0"/>
          <w:numId w:val="1"/>
        </w:numPr>
        <w:spacing w:before="114"/>
        <w:ind w:right="134"/>
        <w:contextualSpacing/>
        <w:jc w:val="both"/>
        <w:rPr>
          <w:lang w:val="en-GB"/>
        </w:rPr>
      </w:pPr>
      <w:r w:rsidRPr="00552E51">
        <w:rPr>
          <w:lang w:val="en-GB"/>
        </w:rPr>
        <w:t>On</w:t>
      </w:r>
      <w:r w:rsidR="00DB7100">
        <w:rPr>
          <w:lang w:val="en-GB"/>
        </w:rPr>
        <w:t>-</w:t>
      </w:r>
      <w:r w:rsidRPr="00552E51">
        <w:rPr>
          <w:lang w:val="en-GB"/>
        </w:rPr>
        <w:t>site inspections</w:t>
      </w:r>
      <w:r w:rsidR="00BB5636">
        <w:rPr>
          <w:lang w:val="en-GB"/>
        </w:rPr>
        <w:t xml:space="preserve">; and </w:t>
      </w:r>
    </w:p>
    <w:p w14:paraId="5A4891CF" w14:textId="77777777" w:rsidR="00BB5636" w:rsidRDefault="00BB5636" w:rsidP="00BB5636">
      <w:pPr>
        <w:pStyle w:val="BodyText"/>
        <w:spacing w:before="114"/>
        <w:ind w:left="858" w:right="134"/>
        <w:contextualSpacing/>
        <w:jc w:val="both"/>
        <w:rPr>
          <w:lang w:val="en-GB"/>
        </w:rPr>
      </w:pPr>
    </w:p>
    <w:p w14:paraId="2E48C4BC" w14:textId="7C0A3553" w:rsidR="00CB3815" w:rsidRDefault="0054361F" w:rsidP="00C53926">
      <w:pPr>
        <w:pStyle w:val="BodyText"/>
        <w:numPr>
          <w:ilvl w:val="0"/>
          <w:numId w:val="1"/>
        </w:numPr>
        <w:spacing w:before="114"/>
        <w:ind w:right="134"/>
        <w:contextualSpacing/>
        <w:jc w:val="both"/>
        <w:rPr>
          <w:lang w:val="en-GB"/>
        </w:rPr>
      </w:pPr>
      <w:r>
        <w:rPr>
          <w:lang w:val="en-GB"/>
        </w:rPr>
        <w:t xml:space="preserve">Market and </w:t>
      </w:r>
      <w:r w:rsidR="00705471">
        <w:rPr>
          <w:lang w:val="en-GB"/>
        </w:rPr>
        <w:t>location-based</w:t>
      </w:r>
      <w:r>
        <w:rPr>
          <w:lang w:val="en-GB"/>
        </w:rPr>
        <w:t xml:space="preserve"> emission factors</w:t>
      </w:r>
      <w:r w:rsidR="00705471">
        <w:rPr>
          <w:lang w:val="en-GB"/>
        </w:rPr>
        <w:t>.</w:t>
      </w:r>
    </w:p>
    <w:p w14:paraId="4165C397" w14:textId="77777777" w:rsidR="00705471" w:rsidRPr="00F06C5D" w:rsidRDefault="00705471" w:rsidP="00705471">
      <w:pPr>
        <w:pStyle w:val="BodyText"/>
        <w:spacing w:before="114"/>
        <w:ind w:left="858" w:right="134"/>
        <w:contextualSpacing/>
        <w:jc w:val="both"/>
        <w:rPr>
          <w:lang w:val="en-GB"/>
        </w:rPr>
      </w:pPr>
    </w:p>
    <w:p w14:paraId="0AEC38D3" w14:textId="765448C8" w:rsidR="00CB3815" w:rsidRDefault="00CB3815" w:rsidP="001F5AEE">
      <w:pPr>
        <w:pStyle w:val="BodyText"/>
        <w:spacing w:before="114" w:after="120"/>
        <w:ind w:left="136" w:right="136"/>
        <w:jc w:val="both"/>
        <w:rPr>
          <w:lang w:val="en-GB"/>
        </w:rPr>
      </w:pPr>
      <w:r>
        <w:rPr>
          <w:lang w:val="en-GB"/>
        </w:rPr>
        <w:t xml:space="preserve">To ensure data quality </w:t>
      </w:r>
      <w:r w:rsidR="009E1A00">
        <w:rPr>
          <w:lang w:val="en-GB"/>
        </w:rPr>
        <w:t>plausibility checks are run</w:t>
      </w:r>
      <w:r w:rsidR="00A6258A">
        <w:rPr>
          <w:lang w:val="en-GB"/>
        </w:rPr>
        <w:t xml:space="preserve"> regularly </w:t>
      </w:r>
      <w:r w:rsidR="00F41362">
        <w:rPr>
          <w:lang w:val="en-GB"/>
        </w:rPr>
        <w:t>w</w:t>
      </w:r>
      <w:r w:rsidR="00A6258A">
        <w:rPr>
          <w:lang w:val="en-GB"/>
        </w:rPr>
        <w:t xml:space="preserve">ithin the </w:t>
      </w:r>
      <w:r w:rsidR="00EE78F7">
        <w:rPr>
          <w:lang w:val="en-GB"/>
        </w:rPr>
        <w:t xml:space="preserve">quarterly </w:t>
      </w:r>
      <w:r w:rsidR="00A6258A">
        <w:rPr>
          <w:lang w:val="en-GB"/>
        </w:rPr>
        <w:t>data collection process</w:t>
      </w:r>
      <w:r w:rsidR="00F41362">
        <w:rPr>
          <w:lang w:val="en-GB"/>
        </w:rPr>
        <w:t>.</w:t>
      </w:r>
      <w:r w:rsidR="00AE3794">
        <w:rPr>
          <w:lang w:val="en-GB"/>
        </w:rPr>
        <w:t xml:space="preserve"> </w:t>
      </w:r>
      <w:r w:rsidR="00A37025">
        <w:rPr>
          <w:lang w:val="en-GB"/>
        </w:rPr>
        <w:t>P</w:t>
      </w:r>
      <w:r w:rsidR="00A37025" w:rsidRPr="00C835FF">
        <w:rPr>
          <w:lang w:val="en-GB"/>
        </w:rPr>
        <w:t>lausibility checks are being performed for all data points, discrepancies are being discussed with the data owner and corrected. Outliers are marked and explained with e.g. a footnote in reports and other publications, if applicable.</w:t>
      </w:r>
      <w:r w:rsidR="00705471">
        <w:rPr>
          <w:lang w:val="en-GB"/>
        </w:rPr>
        <w:t xml:space="preserve"> </w:t>
      </w:r>
      <w:r w:rsidR="00F816EA">
        <w:rPr>
          <w:lang w:val="en-GB"/>
        </w:rPr>
        <w:t xml:space="preserve">The data are </w:t>
      </w:r>
      <w:r w:rsidR="007F7EEC">
        <w:rPr>
          <w:lang w:val="en-GB"/>
        </w:rPr>
        <w:t xml:space="preserve">collected </w:t>
      </w:r>
      <w:r w:rsidR="00F816EA">
        <w:rPr>
          <w:lang w:val="en-GB"/>
        </w:rPr>
        <w:t xml:space="preserve">by </w:t>
      </w:r>
      <w:r w:rsidR="00EA1615">
        <w:rPr>
          <w:lang w:val="en-GB"/>
        </w:rPr>
        <w:t xml:space="preserve">the property managers </w:t>
      </w:r>
      <w:r w:rsidR="00130257">
        <w:rPr>
          <w:lang w:val="en-GB"/>
        </w:rPr>
        <w:t>and processed by an external ESG consultant</w:t>
      </w:r>
      <w:r w:rsidR="00A13E11">
        <w:rPr>
          <w:lang w:val="en-GB"/>
        </w:rPr>
        <w:t>.</w:t>
      </w:r>
    </w:p>
    <w:p w14:paraId="5250AE48" w14:textId="1A20B7E4" w:rsidR="00EA223C" w:rsidRPr="00C835FF" w:rsidRDefault="002A7FFD" w:rsidP="001F5AEE">
      <w:pPr>
        <w:pStyle w:val="BodyText"/>
        <w:spacing w:before="114" w:after="120"/>
        <w:ind w:left="136" w:right="136"/>
        <w:jc w:val="both"/>
        <w:rPr>
          <w:lang w:val="en-GB"/>
        </w:rPr>
      </w:pPr>
      <w:r>
        <w:rPr>
          <w:lang w:val="en-GB"/>
        </w:rPr>
        <w:t xml:space="preserve">The </w:t>
      </w:r>
      <w:r w:rsidR="00C81B89">
        <w:rPr>
          <w:lang w:val="en-GB"/>
        </w:rPr>
        <w:t>data for 2022 will be partially estimated given that such data is in the process of being collected</w:t>
      </w:r>
      <w:r w:rsidR="0052351D">
        <w:rPr>
          <w:lang w:val="en-GB"/>
        </w:rPr>
        <w:t>,</w:t>
      </w:r>
      <w:r w:rsidR="005A1D76">
        <w:rPr>
          <w:lang w:val="en-GB"/>
        </w:rPr>
        <w:t xml:space="preserve"> e.g. from tenants.</w:t>
      </w:r>
    </w:p>
    <w:p w14:paraId="704886C0" w14:textId="77777777" w:rsidR="0054361F" w:rsidRDefault="0054361F" w:rsidP="001F5AEE">
      <w:pPr>
        <w:pStyle w:val="BodyText"/>
        <w:spacing w:before="114" w:after="120"/>
        <w:ind w:left="136" w:right="136"/>
        <w:jc w:val="both"/>
        <w:rPr>
          <w:lang w:val="en-GB"/>
        </w:rPr>
      </w:pPr>
    </w:p>
    <w:p w14:paraId="1895A414" w14:textId="1A790AE8" w:rsidR="00C35B42" w:rsidRDefault="00C35B42" w:rsidP="001F5AEE">
      <w:pPr>
        <w:pStyle w:val="BodyText"/>
        <w:keepNext/>
        <w:spacing w:before="114"/>
        <w:ind w:left="136" w:right="136"/>
        <w:contextualSpacing/>
        <w:jc w:val="both"/>
        <w:rPr>
          <w:b/>
          <w:bCs/>
          <w:lang w:val="en-GB"/>
        </w:rPr>
      </w:pPr>
      <w:r w:rsidRPr="00C35B42">
        <w:rPr>
          <w:b/>
          <w:bCs/>
          <w:lang w:val="en-GB"/>
        </w:rPr>
        <w:t>Limitations to methodologies and data</w:t>
      </w:r>
    </w:p>
    <w:p w14:paraId="29D10F80" w14:textId="2C88A385" w:rsidR="009C6BC2" w:rsidRPr="00C835FF" w:rsidRDefault="005F3ED6" w:rsidP="001F5AEE">
      <w:pPr>
        <w:pStyle w:val="BodyText"/>
        <w:spacing w:before="114" w:after="120"/>
        <w:ind w:left="136" w:right="136"/>
        <w:jc w:val="both"/>
        <w:rPr>
          <w:lang w:val="en-GB"/>
        </w:rPr>
      </w:pPr>
      <w:r w:rsidRPr="005F3ED6">
        <w:rPr>
          <w:lang w:val="en-GB"/>
        </w:rPr>
        <w:t xml:space="preserve">Information obtained from third parties </w:t>
      </w:r>
      <w:r w:rsidR="000702A7">
        <w:rPr>
          <w:lang w:val="en-GB"/>
        </w:rPr>
        <w:t>is</w:t>
      </w:r>
      <w:r w:rsidRPr="005F3ED6">
        <w:rPr>
          <w:lang w:val="en-GB"/>
        </w:rPr>
        <w:t xml:space="preserve"> accepted at face value; </w:t>
      </w:r>
      <w:r>
        <w:rPr>
          <w:lang w:val="en-GB"/>
        </w:rPr>
        <w:t>Genesta</w:t>
      </w:r>
      <w:r w:rsidRPr="005F3ED6">
        <w:rPr>
          <w:lang w:val="en-GB"/>
        </w:rPr>
        <w:t xml:space="preserve"> believes this information to be reliable but does not guarantee its accuracy.</w:t>
      </w:r>
      <w:r w:rsidR="00705471" w:rsidRPr="00C835FF">
        <w:rPr>
          <w:lang w:val="en-GB"/>
        </w:rPr>
        <w:t xml:space="preserve"> </w:t>
      </w:r>
    </w:p>
    <w:p w14:paraId="2E3B395D" w14:textId="1601ACBB" w:rsidR="007A15E3" w:rsidRPr="00C835FF" w:rsidRDefault="007A15E3" w:rsidP="001F5AEE">
      <w:pPr>
        <w:pStyle w:val="BodyText"/>
        <w:spacing w:before="114" w:after="120"/>
        <w:ind w:left="136" w:right="136"/>
        <w:jc w:val="both"/>
        <w:rPr>
          <w:lang w:val="en-GB"/>
        </w:rPr>
      </w:pPr>
      <w:r w:rsidRPr="000702A7">
        <w:rPr>
          <w:u w:val="single"/>
          <w:lang w:val="en-GB"/>
        </w:rPr>
        <w:t xml:space="preserve">Limitations </w:t>
      </w:r>
      <w:r w:rsidR="0050491C" w:rsidRPr="000702A7">
        <w:rPr>
          <w:u w:val="single"/>
          <w:lang w:val="en-GB"/>
        </w:rPr>
        <w:t>to</w:t>
      </w:r>
      <w:r w:rsidRPr="000702A7">
        <w:rPr>
          <w:u w:val="single"/>
          <w:lang w:val="en-GB"/>
        </w:rPr>
        <w:t xml:space="preserve"> </w:t>
      </w:r>
      <w:r w:rsidR="007F3397" w:rsidRPr="000702A7">
        <w:rPr>
          <w:u w:val="single"/>
          <w:lang w:val="en-GB"/>
        </w:rPr>
        <w:t xml:space="preserve">environmental </w:t>
      </w:r>
      <w:r w:rsidRPr="000702A7">
        <w:rPr>
          <w:u w:val="single"/>
          <w:lang w:val="en-GB"/>
        </w:rPr>
        <w:t>KPIs</w:t>
      </w:r>
      <w:r>
        <w:rPr>
          <w:lang w:val="en-GB"/>
        </w:rPr>
        <w:t>:</w:t>
      </w:r>
    </w:p>
    <w:p w14:paraId="52368FA2" w14:textId="306DB00C" w:rsidR="00005489" w:rsidRPr="00DB6634" w:rsidRDefault="00005489" w:rsidP="00C53926">
      <w:pPr>
        <w:pStyle w:val="BodyText"/>
        <w:numPr>
          <w:ilvl w:val="0"/>
          <w:numId w:val="1"/>
        </w:numPr>
        <w:spacing w:before="114"/>
        <w:ind w:right="134"/>
        <w:contextualSpacing/>
        <w:jc w:val="both"/>
        <w:rPr>
          <w:lang w:val="en-GB"/>
        </w:rPr>
      </w:pPr>
      <w:r w:rsidRPr="008124FF">
        <w:rPr>
          <w:lang w:val="en-GB"/>
        </w:rPr>
        <w:t xml:space="preserve">Effects on energy efficiency are </w:t>
      </w:r>
      <w:r>
        <w:rPr>
          <w:lang w:val="en-GB"/>
        </w:rPr>
        <w:t xml:space="preserve">when available calculated on absolute consumption. Where absolute data is not available, the calculations represent </w:t>
      </w:r>
      <w:r w:rsidRPr="008124FF">
        <w:rPr>
          <w:lang w:val="en-GB"/>
        </w:rPr>
        <w:t>theoretical model</w:t>
      </w:r>
      <w:r>
        <w:rPr>
          <w:lang w:val="en-GB"/>
        </w:rPr>
        <w:t>s</w:t>
      </w:r>
      <w:r w:rsidRPr="008124FF">
        <w:rPr>
          <w:lang w:val="en-GB"/>
        </w:rPr>
        <w:t xml:space="preserve"> based on the EPC calculations and the information available from the valid EPCs.</w:t>
      </w:r>
    </w:p>
    <w:p w14:paraId="7B078782" w14:textId="77777777" w:rsidR="009C6BC2" w:rsidRPr="00DB6634" w:rsidRDefault="009C6BC2" w:rsidP="00DB6634">
      <w:pPr>
        <w:pStyle w:val="BodyText"/>
        <w:spacing w:before="114"/>
        <w:ind w:left="858" w:right="134"/>
        <w:contextualSpacing/>
        <w:jc w:val="both"/>
        <w:rPr>
          <w:lang w:val="en-GB"/>
        </w:rPr>
      </w:pPr>
    </w:p>
    <w:p w14:paraId="183E8BC2" w14:textId="5AC403E4" w:rsidR="007A15E3" w:rsidRDefault="00005489" w:rsidP="00C53926">
      <w:pPr>
        <w:pStyle w:val="BodyText"/>
        <w:numPr>
          <w:ilvl w:val="0"/>
          <w:numId w:val="1"/>
        </w:numPr>
        <w:spacing w:before="114"/>
        <w:ind w:right="134"/>
        <w:contextualSpacing/>
        <w:jc w:val="both"/>
        <w:rPr>
          <w:lang w:val="en-GB"/>
        </w:rPr>
      </w:pPr>
      <w:r>
        <w:rPr>
          <w:lang w:val="en-GB"/>
        </w:rPr>
        <w:t xml:space="preserve">To use absolute data, </w:t>
      </w:r>
      <w:r w:rsidR="00527D5E">
        <w:rPr>
          <w:lang w:val="en-GB"/>
        </w:rPr>
        <w:t>d</w:t>
      </w:r>
      <w:r>
        <w:rPr>
          <w:lang w:val="en-GB"/>
        </w:rPr>
        <w:t xml:space="preserve">ata </w:t>
      </w:r>
      <w:r w:rsidR="00527D5E">
        <w:rPr>
          <w:lang w:val="en-GB"/>
        </w:rPr>
        <w:t xml:space="preserve">has to be </w:t>
      </w:r>
      <w:r>
        <w:rPr>
          <w:lang w:val="en-GB"/>
        </w:rPr>
        <w:t>made available by the previous owner or energy provider</w:t>
      </w:r>
      <w:r w:rsidR="00527D5E">
        <w:rPr>
          <w:lang w:val="en-GB"/>
        </w:rPr>
        <w:t xml:space="preserve"> and/or by tenants</w:t>
      </w:r>
      <w:r w:rsidR="009C6BC2">
        <w:rPr>
          <w:lang w:val="en-GB"/>
        </w:rPr>
        <w:t>.</w:t>
      </w:r>
    </w:p>
    <w:p w14:paraId="2CD634D8" w14:textId="77777777" w:rsidR="009C6BC2" w:rsidRPr="00527D5E" w:rsidRDefault="009C6BC2" w:rsidP="00DB6634">
      <w:pPr>
        <w:pStyle w:val="BodyText"/>
        <w:spacing w:before="114"/>
        <w:ind w:left="858" w:right="134"/>
        <w:contextualSpacing/>
        <w:jc w:val="both"/>
        <w:rPr>
          <w:lang w:val="en-GB"/>
        </w:rPr>
      </w:pPr>
    </w:p>
    <w:p w14:paraId="784FD9FF" w14:textId="77777777" w:rsidR="009C6BC2" w:rsidRDefault="007A15E3" w:rsidP="00C53926">
      <w:pPr>
        <w:pStyle w:val="BodyText"/>
        <w:numPr>
          <w:ilvl w:val="0"/>
          <w:numId w:val="1"/>
        </w:numPr>
        <w:spacing w:before="114"/>
        <w:ind w:right="134"/>
        <w:contextualSpacing/>
        <w:jc w:val="both"/>
        <w:rPr>
          <w:lang w:val="en-GB"/>
        </w:rPr>
      </w:pPr>
      <w:r>
        <w:rPr>
          <w:lang w:val="en-GB"/>
        </w:rPr>
        <w:t>Limited tenant data</w:t>
      </w:r>
      <w:r w:rsidR="00D83DB3">
        <w:rPr>
          <w:lang w:val="en-GB"/>
        </w:rPr>
        <w:t xml:space="preserve">: tenant data </w:t>
      </w:r>
      <w:r w:rsidR="00547DE0">
        <w:rPr>
          <w:lang w:val="en-GB"/>
        </w:rPr>
        <w:t xml:space="preserve">might </w:t>
      </w:r>
      <w:r w:rsidR="00D83DB3">
        <w:rPr>
          <w:lang w:val="en-GB"/>
        </w:rPr>
        <w:t>not</w:t>
      </w:r>
      <w:r w:rsidR="00693229">
        <w:rPr>
          <w:lang w:val="en-GB"/>
        </w:rPr>
        <w:t xml:space="preserve"> be</w:t>
      </w:r>
      <w:r w:rsidR="00D83DB3">
        <w:rPr>
          <w:lang w:val="en-GB"/>
        </w:rPr>
        <w:t xml:space="preserve"> available </w:t>
      </w:r>
      <w:r w:rsidR="00547DE0">
        <w:rPr>
          <w:lang w:val="en-GB"/>
        </w:rPr>
        <w:t>as tenant</w:t>
      </w:r>
      <w:r w:rsidR="00D7276F">
        <w:rPr>
          <w:lang w:val="en-GB"/>
        </w:rPr>
        <w:t>’</w:t>
      </w:r>
      <w:r w:rsidR="00547DE0">
        <w:rPr>
          <w:lang w:val="en-GB"/>
        </w:rPr>
        <w:t>s contracts and meters are handled separately</w:t>
      </w:r>
      <w:r w:rsidR="001346A0">
        <w:rPr>
          <w:lang w:val="en-GB"/>
        </w:rPr>
        <w:t xml:space="preserve">. </w:t>
      </w:r>
    </w:p>
    <w:p w14:paraId="05983A67" w14:textId="77777777" w:rsidR="009C6BC2" w:rsidRDefault="009C6BC2" w:rsidP="00DB6634">
      <w:pPr>
        <w:pStyle w:val="BodyText"/>
        <w:spacing w:before="114"/>
        <w:ind w:left="858" w:right="134"/>
        <w:contextualSpacing/>
        <w:jc w:val="both"/>
        <w:rPr>
          <w:lang w:val="en-GB"/>
        </w:rPr>
      </w:pPr>
    </w:p>
    <w:p w14:paraId="75CE9607" w14:textId="65C9056A" w:rsidR="007A15E3" w:rsidRDefault="007A15E3" w:rsidP="001F5AEE">
      <w:pPr>
        <w:pStyle w:val="BodyText"/>
        <w:spacing w:before="114" w:after="120"/>
        <w:ind w:left="136" w:right="136"/>
        <w:jc w:val="both"/>
        <w:rPr>
          <w:lang w:val="en-GB"/>
        </w:rPr>
      </w:pPr>
      <w:r w:rsidRPr="000702A7">
        <w:rPr>
          <w:u w:val="single"/>
          <w:lang w:val="en-GB"/>
        </w:rPr>
        <w:t xml:space="preserve">Limitations </w:t>
      </w:r>
      <w:r w:rsidR="0050491C" w:rsidRPr="000702A7">
        <w:rPr>
          <w:u w:val="single"/>
          <w:lang w:val="en-GB"/>
        </w:rPr>
        <w:t>to</w:t>
      </w:r>
      <w:r w:rsidRPr="000702A7">
        <w:rPr>
          <w:u w:val="single"/>
          <w:lang w:val="en-GB"/>
        </w:rPr>
        <w:t xml:space="preserve"> </w:t>
      </w:r>
      <w:r w:rsidR="000E6BF0" w:rsidRPr="000702A7">
        <w:rPr>
          <w:u w:val="single"/>
          <w:lang w:val="en-GB"/>
        </w:rPr>
        <w:t xml:space="preserve">social </w:t>
      </w:r>
      <w:r w:rsidRPr="000702A7">
        <w:rPr>
          <w:u w:val="single"/>
          <w:lang w:val="en-GB"/>
        </w:rPr>
        <w:t>data</w:t>
      </w:r>
      <w:r>
        <w:rPr>
          <w:lang w:val="en-GB"/>
        </w:rPr>
        <w:t>:</w:t>
      </w:r>
      <w:r w:rsidR="001931FD">
        <w:rPr>
          <w:lang w:val="en-GB"/>
        </w:rPr>
        <w:t xml:space="preserve"> </w:t>
      </w:r>
      <w:r w:rsidR="00D73968">
        <w:rPr>
          <w:lang w:val="en-GB"/>
        </w:rPr>
        <w:t xml:space="preserve">Information obtained from </w:t>
      </w:r>
      <w:r w:rsidR="00B17FD6">
        <w:rPr>
          <w:lang w:val="en-GB"/>
        </w:rPr>
        <w:t>suppliers and subcontractors has been accepted at face value</w:t>
      </w:r>
      <w:r w:rsidR="00364DEC">
        <w:rPr>
          <w:lang w:val="en-GB"/>
        </w:rPr>
        <w:t>; Genesta</w:t>
      </w:r>
      <w:r w:rsidR="00364DEC" w:rsidRPr="005F3ED6">
        <w:rPr>
          <w:lang w:val="en-GB"/>
        </w:rPr>
        <w:t xml:space="preserve"> believes this information to be reliable but does not guarantee its accuracy</w:t>
      </w:r>
      <w:r w:rsidR="008932F3">
        <w:rPr>
          <w:lang w:val="en-GB"/>
        </w:rPr>
        <w:t>.</w:t>
      </w:r>
    </w:p>
    <w:p w14:paraId="0AD639B1" w14:textId="253F8070" w:rsidR="00F16792" w:rsidRPr="00A00BBD" w:rsidRDefault="00033E11" w:rsidP="001F5AEE">
      <w:pPr>
        <w:pStyle w:val="BodyText"/>
        <w:spacing w:before="114" w:after="120"/>
        <w:ind w:left="136" w:right="136"/>
        <w:jc w:val="both"/>
        <w:rPr>
          <w:lang w:val="en-GB"/>
        </w:rPr>
      </w:pPr>
      <w:r>
        <w:rPr>
          <w:lang w:val="en-GB"/>
        </w:rPr>
        <w:t>As stated above</w:t>
      </w:r>
      <w:r w:rsidR="002B537A">
        <w:rPr>
          <w:lang w:val="en-GB"/>
        </w:rPr>
        <w:t>,</w:t>
      </w:r>
      <w:r>
        <w:rPr>
          <w:lang w:val="en-GB"/>
        </w:rPr>
        <w:t xml:space="preserve"> the data is only partially </w:t>
      </w:r>
      <w:r w:rsidR="00F84EEE">
        <w:rPr>
          <w:lang w:val="en-GB"/>
        </w:rPr>
        <w:t>available to date and, hence, will partially be estimated</w:t>
      </w:r>
      <w:r w:rsidR="00630B7D">
        <w:rPr>
          <w:lang w:val="en-GB"/>
        </w:rPr>
        <w:t xml:space="preserve">. However, given that </w:t>
      </w:r>
      <w:r w:rsidR="0065654A">
        <w:rPr>
          <w:lang w:val="en-GB"/>
        </w:rPr>
        <w:t xml:space="preserve">such estimation </w:t>
      </w:r>
      <w:r w:rsidR="002B537A">
        <w:rPr>
          <w:lang w:val="en-GB"/>
        </w:rPr>
        <w:t>is</w:t>
      </w:r>
      <w:r w:rsidR="0065654A">
        <w:rPr>
          <w:lang w:val="en-GB"/>
        </w:rPr>
        <w:t xml:space="preserve"> used to assess KPIs, the Fund should nevertheless be able to use such data when assessing its </w:t>
      </w:r>
      <w:r w:rsidR="002B537A">
        <w:rPr>
          <w:lang w:val="en-GB"/>
        </w:rPr>
        <w:t>environmental or social objectives.</w:t>
      </w:r>
    </w:p>
    <w:p w14:paraId="4D35527C" w14:textId="77777777" w:rsidR="00B37D45" w:rsidRDefault="00B37D45" w:rsidP="001F5AEE">
      <w:pPr>
        <w:pStyle w:val="BodyText"/>
        <w:spacing w:before="114" w:after="120"/>
        <w:ind w:left="136" w:right="136"/>
        <w:jc w:val="both"/>
        <w:rPr>
          <w:lang w:val="en-GB"/>
        </w:rPr>
      </w:pPr>
    </w:p>
    <w:p w14:paraId="1F518E4D" w14:textId="11AA4F4B" w:rsidR="00C35B42" w:rsidRDefault="00C35B42" w:rsidP="001F5AEE">
      <w:pPr>
        <w:pStyle w:val="BodyText"/>
        <w:keepNext/>
        <w:spacing w:before="114"/>
        <w:ind w:left="136" w:right="136"/>
        <w:contextualSpacing/>
        <w:jc w:val="both"/>
        <w:rPr>
          <w:b/>
          <w:bCs/>
          <w:lang w:val="en-GB"/>
        </w:rPr>
      </w:pPr>
      <w:r w:rsidRPr="00C35B42">
        <w:rPr>
          <w:b/>
          <w:bCs/>
          <w:lang w:val="en-GB"/>
        </w:rPr>
        <w:t>Due diligence</w:t>
      </w:r>
    </w:p>
    <w:p w14:paraId="0C9A5F65" w14:textId="4AFF3DEA" w:rsidR="00015D72" w:rsidRDefault="00244751" w:rsidP="001F5AEE">
      <w:pPr>
        <w:pStyle w:val="BodyText"/>
        <w:spacing w:before="114" w:after="120"/>
        <w:ind w:left="136" w:right="136"/>
        <w:jc w:val="both"/>
        <w:rPr>
          <w:lang w:val="en-GB"/>
        </w:rPr>
      </w:pPr>
      <w:r>
        <w:rPr>
          <w:lang w:val="en-GB"/>
        </w:rPr>
        <w:t>T</w:t>
      </w:r>
      <w:r w:rsidRPr="00244751">
        <w:rPr>
          <w:lang w:val="en-GB"/>
        </w:rPr>
        <w:t>he due diligence carried out on the underlying assets</w:t>
      </w:r>
      <w:r>
        <w:rPr>
          <w:lang w:val="en-GB"/>
        </w:rPr>
        <w:t xml:space="preserve"> of the Fund</w:t>
      </w:r>
      <w:r w:rsidR="00015D72" w:rsidRPr="00C835FF">
        <w:rPr>
          <w:lang w:val="en-GB"/>
        </w:rPr>
        <w:t xml:space="preserve"> </w:t>
      </w:r>
      <w:r w:rsidR="00015D72" w:rsidRPr="00015D72">
        <w:rPr>
          <w:lang w:val="en-GB"/>
        </w:rPr>
        <w:t>is staggered into t</w:t>
      </w:r>
      <w:r w:rsidR="0038751E">
        <w:rPr>
          <w:lang w:val="en-GB"/>
        </w:rPr>
        <w:t xml:space="preserve">hree </w:t>
      </w:r>
      <w:r w:rsidR="00015D72" w:rsidRPr="00015D72">
        <w:rPr>
          <w:lang w:val="en-GB"/>
        </w:rPr>
        <w:t>distinct stages:</w:t>
      </w:r>
    </w:p>
    <w:p w14:paraId="3C2396AD" w14:textId="5FCDFD43" w:rsidR="00015D72" w:rsidRDefault="00015D72" w:rsidP="00C53926">
      <w:pPr>
        <w:pStyle w:val="BodyText"/>
        <w:numPr>
          <w:ilvl w:val="0"/>
          <w:numId w:val="2"/>
        </w:numPr>
        <w:spacing w:before="114"/>
        <w:ind w:right="134"/>
        <w:contextualSpacing/>
        <w:jc w:val="both"/>
        <w:rPr>
          <w:lang w:val="en-GB"/>
        </w:rPr>
      </w:pPr>
      <w:r w:rsidRPr="00015D72">
        <w:rPr>
          <w:lang w:val="en-GB"/>
        </w:rPr>
        <w:t>pre-due diligence (pre-DD), when initial ESG screening is considered,</w:t>
      </w:r>
    </w:p>
    <w:p w14:paraId="1142E578" w14:textId="77777777" w:rsidR="005515A2" w:rsidRDefault="005515A2" w:rsidP="00DB6634">
      <w:pPr>
        <w:pStyle w:val="BodyText"/>
        <w:ind w:left="726" w:right="134"/>
        <w:contextualSpacing/>
        <w:jc w:val="both"/>
        <w:rPr>
          <w:lang w:val="en-GB"/>
        </w:rPr>
      </w:pPr>
    </w:p>
    <w:p w14:paraId="38AC6EE4" w14:textId="3CF70696" w:rsidR="005515A2" w:rsidRPr="005515A2" w:rsidRDefault="005515A2" w:rsidP="00C53926">
      <w:pPr>
        <w:pStyle w:val="BodyText"/>
        <w:numPr>
          <w:ilvl w:val="0"/>
          <w:numId w:val="2"/>
        </w:numPr>
        <w:ind w:right="134"/>
        <w:contextualSpacing/>
        <w:jc w:val="both"/>
        <w:rPr>
          <w:lang w:val="en-GB"/>
        </w:rPr>
      </w:pPr>
      <w:r w:rsidRPr="005515A2">
        <w:rPr>
          <w:lang w:val="en-GB"/>
        </w:rPr>
        <w:t xml:space="preserve">due diligence (including due diligence on ESG factors) </w:t>
      </w:r>
    </w:p>
    <w:p w14:paraId="68BBB5A9" w14:textId="77777777" w:rsidR="00B37D45" w:rsidRDefault="00B37D45" w:rsidP="00B37D45">
      <w:pPr>
        <w:pStyle w:val="BodyText"/>
        <w:spacing w:before="114"/>
        <w:ind w:left="726" w:right="134"/>
        <w:contextualSpacing/>
        <w:jc w:val="both"/>
        <w:rPr>
          <w:lang w:val="en-GB"/>
        </w:rPr>
      </w:pPr>
    </w:p>
    <w:p w14:paraId="3DB35218" w14:textId="04350DC8" w:rsidR="00015D72" w:rsidRDefault="00015D72" w:rsidP="00C53926">
      <w:pPr>
        <w:pStyle w:val="BodyText"/>
        <w:numPr>
          <w:ilvl w:val="0"/>
          <w:numId w:val="2"/>
        </w:numPr>
        <w:spacing w:before="114"/>
        <w:ind w:right="134"/>
        <w:contextualSpacing/>
        <w:jc w:val="both"/>
        <w:rPr>
          <w:lang w:val="en-GB"/>
        </w:rPr>
      </w:pPr>
      <w:r w:rsidRPr="00015D72">
        <w:rPr>
          <w:lang w:val="en-GB"/>
        </w:rPr>
        <w:t>post-due diligence (final approval) when due diligence results and any post-acquisition measures/underwriting are considered.</w:t>
      </w:r>
    </w:p>
    <w:p w14:paraId="025E6F07" w14:textId="77777777" w:rsidR="00B37D45" w:rsidRPr="00015D72" w:rsidRDefault="00B37D45" w:rsidP="00B37D45">
      <w:pPr>
        <w:pStyle w:val="BodyText"/>
        <w:spacing w:before="114"/>
        <w:ind w:left="726" w:right="134"/>
        <w:contextualSpacing/>
        <w:jc w:val="both"/>
        <w:rPr>
          <w:lang w:val="en-GB"/>
        </w:rPr>
      </w:pPr>
    </w:p>
    <w:p w14:paraId="29696ED6" w14:textId="1A2C90ED" w:rsidR="00BD6745" w:rsidRDefault="00A4374F" w:rsidP="001F5AEE">
      <w:pPr>
        <w:pStyle w:val="BodyText"/>
        <w:spacing w:before="114" w:after="120"/>
        <w:ind w:left="136" w:right="136"/>
        <w:jc w:val="both"/>
        <w:rPr>
          <w:lang w:val="en-GB"/>
        </w:rPr>
      </w:pPr>
      <w:r>
        <w:rPr>
          <w:lang w:val="en-GB"/>
        </w:rPr>
        <w:t>D</w:t>
      </w:r>
      <w:r w:rsidRPr="00015D72">
        <w:rPr>
          <w:lang w:val="en-GB"/>
        </w:rPr>
        <w:t>uring the investment selection process</w:t>
      </w:r>
      <w:r>
        <w:rPr>
          <w:lang w:val="en-GB"/>
        </w:rPr>
        <w:t>, t</w:t>
      </w:r>
      <w:r w:rsidR="00015D72" w:rsidRPr="00015D72">
        <w:rPr>
          <w:lang w:val="en-GB"/>
        </w:rPr>
        <w:t xml:space="preserve">he findings of the due diligence screening and analysis </w:t>
      </w:r>
      <w:r>
        <w:rPr>
          <w:lang w:val="en-GB"/>
        </w:rPr>
        <w:t xml:space="preserve">are considered. </w:t>
      </w:r>
      <w:r w:rsidR="00BD6745">
        <w:rPr>
          <w:lang w:val="en-GB"/>
        </w:rPr>
        <w:t xml:space="preserve">After the </w:t>
      </w:r>
      <w:r w:rsidR="00BD6745" w:rsidRPr="00BD6745">
        <w:rPr>
          <w:lang w:val="en-GB"/>
        </w:rPr>
        <w:t>investment selection process</w:t>
      </w:r>
      <w:r w:rsidR="004A03D0">
        <w:rPr>
          <w:lang w:val="en-GB"/>
        </w:rPr>
        <w:t>, the Fund</w:t>
      </w:r>
      <w:r w:rsidR="00F459F3">
        <w:rPr>
          <w:lang w:val="en-GB"/>
        </w:rPr>
        <w:t xml:space="preserve">’s approach is to </w:t>
      </w:r>
      <w:r w:rsidR="00A92548">
        <w:rPr>
          <w:lang w:val="en-GB"/>
        </w:rPr>
        <w:t>complete the following activities:</w:t>
      </w:r>
    </w:p>
    <w:p w14:paraId="40CF86EB" w14:textId="0B005238" w:rsidR="00932EB8" w:rsidRDefault="00932EB8" w:rsidP="00C53926">
      <w:pPr>
        <w:pStyle w:val="BodyText"/>
        <w:numPr>
          <w:ilvl w:val="0"/>
          <w:numId w:val="3"/>
        </w:numPr>
        <w:spacing w:before="114"/>
        <w:ind w:right="134"/>
        <w:contextualSpacing/>
        <w:jc w:val="both"/>
        <w:rPr>
          <w:lang w:val="en-GB"/>
        </w:rPr>
      </w:pPr>
      <w:r w:rsidRPr="00932EB8">
        <w:rPr>
          <w:lang w:val="en-GB"/>
        </w:rPr>
        <w:t>Definition of technical &amp; environmental status and impacts</w:t>
      </w:r>
      <w:r w:rsidR="00E95627">
        <w:rPr>
          <w:lang w:val="en-GB"/>
        </w:rPr>
        <w:t>;</w:t>
      </w:r>
    </w:p>
    <w:p w14:paraId="265EE591" w14:textId="77777777" w:rsidR="00C7732E" w:rsidRDefault="00C7732E" w:rsidP="00C7732E">
      <w:pPr>
        <w:pStyle w:val="BodyText"/>
        <w:spacing w:before="114"/>
        <w:ind w:left="858" w:right="134"/>
        <w:contextualSpacing/>
        <w:jc w:val="both"/>
        <w:rPr>
          <w:lang w:val="en-GB"/>
        </w:rPr>
      </w:pPr>
    </w:p>
    <w:p w14:paraId="2EEFA34F" w14:textId="2199C07F" w:rsidR="00932EB8" w:rsidRDefault="00932EB8" w:rsidP="00C53926">
      <w:pPr>
        <w:pStyle w:val="BodyText"/>
        <w:numPr>
          <w:ilvl w:val="0"/>
          <w:numId w:val="3"/>
        </w:numPr>
        <w:spacing w:before="114"/>
        <w:ind w:right="134"/>
        <w:contextualSpacing/>
        <w:jc w:val="both"/>
        <w:rPr>
          <w:lang w:val="en-GB"/>
        </w:rPr>
      </w:pPr>
      <w:r w:rsidRPr="00932EB8">
        <w:rPr>
          <w:lang w:val="en-GB"/>
        </w:rPr>
        <w:t>Identify and review relevant climate stress factors and their economic impacts</w:t>
      </w:r>
      <w:r w:rsidR="00C7732E">
        <w:rPr>
          <w:lang w:val="en-GB"/>
        </w:rPr>
        <w:t>;</w:t>
      </w:r>
    </w:p>
    <w:p w14:paraId="1CBF92D7" w14:textId="77777777" w:rsidR="00784530" w:rsidRDefault="00784530" w:rsidP="00784530">
      <w:pPr>
        <w:pStyle w:val="BodyText"/>
        <w:spacing w:before="114"/>
        <w:ind w:left="858" w:right="134"/>
        <w:contextualSpacing/>
        <w:jc w:val="both"/>
        <w:rPr>
          <w:lang w:val="en-GB"/>
        </w:rPr>
      </w:pPr>
    </w:p>
    <w:p w14:paraId="00586391" w14:textId="0A9DFFCD" w:rsidR="00932EB8" w:rsidRDefault="00932EB8" w:rsidP="00C53926">
      <w:pPr>
        <w:pStyle w:val="BodyText"/>
        <w:numPr>
          <w:ilvl w:val="0"/>
          <w:numId w:val="3"/>
        </w:numPr>
        <w:spacing w:before="114"/>
        <w:ind w:right="134"/>
        <w:contextualSpacing/>
        <w:jc w:val="both"/>
        <w:rPr>
          <w:lang w:val="en-GB"/>
        </w:rPr>
      </w:pPr>
      <w:r w:rsidRPr="00784530">
        <w:rPr>
          <w:lang w:val="en-GB"/>
        </w:rPr>
        <w:t>Identifying key areas for development and value creation</w:t>
      </w:r>
      <w:r w:rsidR="00784530">
        <w:rPr>
          <w:lang w:val="en-GB"/>
        </w:rPr>
        <w:t>; and</w:t>
      </w:r>
    </w:p>
    <w:p w14:paraId="208DD686" w14:textId="77777777" w:rsidR="00784530" w:rsidRPr="00784530" w:rsidRDefault="00784530" w:rsidP="00784530">
      <w:pPr>
        <w:pStyle w:val="BodyText"/>
        <w:spacing w:before="114"/>
        <w:ind w:left="858" w:right="134"/>
        <w:contextualSpacing/>
        <w:jc w:val="both"/>
        <w:rPr>
          <w:lang w:val="en-GB"/>
        </w:rPr>
      </w:pPr>
    </w:p>
    <w:p w14:paraId="01432C90" w14:textId="2AF511C0" w:rsidR="00A92548" w:rsidRDefault="00932EB8" w:rsidP="00C53926">
      <w:pPr>
        <w:pStyle w:val="BodyText"/>
        <w:numPr>
          <w:ilvl w:val="0"/>
          <w:numId w:val="3"/>
        </w:numPr>
        <w:spacing w:before="114"/>
        <w:ind w:right="134"/>
        <w:contextualSpacing/>
        <w:jc w:val="both"/>
        <w:rPr>
          <w:lang w:val="en-GB"/>
        </w:rPr>
      </w:pPr>
      <w:r w:rsidRPr="00932EB8">
        <w:rPr>
          <w:lang w:val="en-GB"/>
        </w:rPr>
        <w:t>Develop a business plan for the whole owning period</w:t>
      </w:r>
      <w:r w:rsidR="00784530">
        <w:rPr>
          <w:lang w:val="en-GB"/>
        </w:rPr>
        <w:t>.</w:t>
      </w:r>
    </w:p>
    <w:p w14:paraId="16B6AF72" w14:textId="77777777" w:rsidR="00784530" w:rsidRDefault="00784530" w:rsidP="00784530">
      <w:pPr>
        <w:pStyle w:val="BodyText"/>
        <w:spacing w:before="114"/>
        <w:ind w:left="858" w:right="134"/>
        <w:contextualSpacing/>
        <w:jc w:val="both"/>
        <w:rPr>
          <w:lang w:val="en-GB"/>
        </w:rPr>
      </w:pPr>
    </w:p>
    <w:p w14:paraId="14BA0FAA" w14:textId="78B6485B" w:rsidR="00C35B42" w:rsidRDefault="00AC75E9" w:rsidP="001F5AEE">
      <w:pPr>
        <w:pStyle w:val="BodyText"/>
        <w:spacing w:before="114" w:after="120"/>
        <w:ind w:left="136" w:right="136"/>
        <w:jc w:val="both"/>
        <w:rPr>
          <w:lang w:val="en-GB"/>
        </w:rPr>
      </w:pPr>
      <w:r>
        <w:rPr>
          <w:lang w:val="en-GB"/>
        </w:rPr>
        <w:t>C</w:t>
      </w:r>
      <w:r w:rsidR="007E15CE">
        <w:rPr>
          <w:lang w:val="en-GB"/>
        </w:rPr>
        <w:t xml:space="preserve">ontrol mechanisms </w:t>
      </w:r>
      <w:r w:rsidR="00387C5C" w:rsidRPr="00387C5C">
        <w:rPr>
          <w:lang w:val="en-GB"/>
        </w:rPr>
        <w:t>are incorporated throughout the due diligence process</w:t>
      </w:r>
      <w:r w:rsidR="007305A9">
        <w:rPr>
          <w:lang w:val="en-GB"/>
        </w:rPr>
        <w:t>. The internal control</w:t>
      </w:r>
      <w:r w:rsidR="00A6048A">
        <w:rPr>
          <w:lang w:val="en-GB"/>
        </w:rPr>
        <w:t>s are outlined more fully above</w:t>
      </w:r>
      <w:r w:rsidR="00F05271">
        <w:rPr>
          <w:lang w:val="en-GB"/>
        </w:rPr>
        <w:t>. The external controls</w:t>
      </w:r>
      <w:r w:rsidR="00FA2BB7" w:rsidRPr="00C835FF">
        <w:rPr>
          <w:lang w:val="en-GB"/>
        </w:rPr>
        <w:t xml:space="preserve"> </w:t>
      </w:r>
      <w:r w:rsidR="00FA2BB7" w:rsidRPr="00FA2BB7">
        <w:rPr>
          <w:lang w:val="en-GB"/>
        </w:rPr>
        <w:t>include</w:t>
      </w:r>
      <w:r w:rsidR="00AA09BE">
        <w:rPr>
          <w:lang w:val="en-GB"/>
        </w:rPr>
        <w:t xml:space="preserve"> review</w:t>
      </w:r>
      <w:r w:rsidR="000A373A">
        <w:rPr>
          <w:lang w:val="en-GB"/>
        </w:rPr>
        <w:t>s</w:t>
      </w:r>
      <w:r w:rsidR="00990020">
        <w:rPr>
          <w:lang w:val="en-GB"/>
        </w:rPr>
        <w:t xml:space="preserve"> performed by</w:t>
      </w:r>
      <w:r w:rsidR="00FA2BB7" w:rsidRPr="00FA2BB7">
        <w:rPr>
          <w:lang w:val="en-GB"/>
        </w:rPr>
        <w:t xml:space="preserve"> third-party ESG specialists.</w:t>
      </w:r>
    </w:p>
    <w:p w14:paraId="10E19702" w14:textId="77777777" w:rsidR="00EC506F" w:rsidRDefault="00EC506F" w:rsidP="001F5AEE">
      <w:pPr>
        <w:pStyle w:val="BodyText"/>
        <w:spacing w:before="114" w:after="120"/>
        <w:ind w:left="136" w:right="136"/>
        <w:jc w:val="both"/>
        <w:rPr>
          <w:lang w:val="en-GB"/>
        </w:rPr>
      </w:pPr>
    </w:p>
    <w:p w14:paraId="780A011C" w14:textId="2BDAD470" w:rsidR="00C35B42" w:rsidRDefault="00C35B42" w:rsidP="001F5AEE">
      <w:pPr>
        <w:pStyle w:val="BodyText"/>
        <w:keepNext/>
        <w:spacing w:before="114"/>
        <w:ind w:left="136" w:right="136"/>
        <w:contextualSpacing/>
        <w:jc w:val="both"/>
        <w:rPr>
          <w:b/>
          <w:bCs/>
          <w:lang w:val="en-GB"/>
        </w:rPr>
      </w:pPr>
      <w:r w:rsidRPr="00C35B42">
        <w:rPr>
          <w:b/>
          <w:bCs/>
          <w:lang w:val="en-GB"/>
        </w:rPr>
        <w:t>Engagement policies</w:t>
      </w:r>
    </w:p>
    <w:p w14:paraId="66B0E8E4" w14:textId="3EC82D03" w:rsidR="00C35B42" w:rsidRDefault="0036020D" w:rsidP="001F5AEE">
      <w:pPr>
        <w:pStyle w:val="BodyText"/>
        <w:spacing w:before="114" w:after="120"/>
        <w:ind w:left="136" w:right="136"/>
        <w:jc w:val="both"/>
        <w:rPr>
          <w:lang w:val="en-GB"/>
        </w:rPr>
      </w:pPr>
      <w:r>
        <w:rPr>
          <w:lang w:val="en-GB"/>
        </w:rPr>
        <w:t>The Fund employs engagement policies as set forth above in the section outlining e</w:t>
      </w:r>
      <w:r w:rsidRPr="0036020D">
        <w:rPr>
          <w:lang w:val="en-GB"/>
        </w:rPr>
        <w:t xml:space="preserve">nvironmental </w:t>
      </w:r>
      <w:r>
        <w:rPr>
          <w:lang w:val="en-GB"/>
        </w:rPr>
        <w:t>and</w:t>
      </w:r>
      <w:r w:rsidRPr="0036020D">
        <w:rPr>
          <w:lang w:val="en-GB"/>
        </w:rPr>
        <w:t xml:space="preserve"> social characteristics of the financial product</w:t>
      </w:r>
      <w:r>
        <w:rPr>
          <w:lang w:val="en-GB"/>
        </w:rPr>
        <w:t>.</w:t>
      </w:r>
    </w:p>
    <w:p w14:paraId="2855F526" w14:textId="04AA7293" w:rsidR="00C35B42" w:rsidRDefault="00C35B42" w:rsidP="001F5AEE">
      <w:pPr>
        <w:pStyle w:val="BodyText"/>
        <w:spacing w:before="114" w:after="120"/>
        <w:ind w:left="136" w:right="136"/>
        <w:jc w:val="both"/>
        <w:rPr>
          <w:lang w:val="en-GB"/>
        </w:rPr>
      </w:pPr>
    </w:p>
    <w:p w14:paraId="19FA149F" w14:textId="0EE466AB" w:rsidR="00C35B42" w:rsidRDefault="00C35B42" w:rsidP="001F5AEE">
      <w:pPr>
        <w:pStyle w:val="BodyText"/>
        <w:keepNext/>
        <w:spacing w:before="114"/>
        <w:ind w:left="136" w:right="136"/>
        <w:contextualSpacing/>
        <w:jc w:val="both"/>
        <w:rPr>
          <w:b/>
          <w:bCs/>
          <w:lang w:val="en-GB"/>
        </w:rPr>
      </w:pPr>
      <w:r w:rsidRPr="00C35B42">
        <w:rPr>
          <w:b/>
          <w:bCs/>
          <w:lang w:val="en-GB"/>
        </w:rPr>
        <w:t>Designated reference benchmark</w:t>
      </w:r>
    </w:p>
    <w:p w14:paraId="35F81590" w14:textId="01D2B6E9" w:rsidR="00C35B42" w:rsidRDefault="006A1B68" w:rsidP="001F5AEE">
      <w:pPr>
        <w:pStyle w:val="BodyText"/>
        <w:spacing w:before="114" w:after="120"/>
        <w:ind w:left="136" w:right="136"/>
        <w:jc w:val="both"/>
        <w:rPr>
          <w:lang w:val="en-GB"/>
        </w:rPr>
      </w:pPr>
      <w:r>
        <w:rPr>
          <w:lang w:val="en-GB"/>
        </w:rPr>
        <w:t>The</w:t>
      </w:r>
      <w:r w:rsidR="004D1F0F" w:rsidRPr="004D1F0F">
        <w:rPr>
          <w:lang w:val="en-GB"/>
        </w:rPr>
        <w:t xml:space="preserve"> reference benchmark</w:t>
      </w:r>
      <w:r>
        <w:rPr>
          <w:lang w:val="en-GB"/>
        </w:rPr>
        <w:t>, GRESB,</w:t>
      </w:r>
      <w:r w:rsidR="004D1F0F" w:rsidRPr="004D1F0F">
        <w:rPr>
          <w:lang w:val="en-GB"/>
        </w:rPr>
        <w:t xml:space="preserve"> has been designated for the purpose of attaining the environmental or social characteristics promoted by the Fund</w:t>
      </w:r>
      <w:r w:rsidR="008E0D70">
        <w:rPr>
          <w:lang w:val="en-GB"/>
        </w:rPr>
        <w:t>.</w:t>
      </w:r>
      <w:r w:rsidRPr="00C835FF">
        <w:rPr>
          <w:lang w:val="en-GB"/>
        </w:rPr>
        <w:t xml:space="preserve"> GRESB</w:t>
      </w:r>
      <w:r w:rsidRPr="006A1B68">
        <w:rPr>
          <w:lang w:val="en-GB"/>
        </w:rPr>
        <w:t xml:space="preserve"> is aligned with the characteristics</w:t>
      </w:r>
      <w:r>
        <w:rPr>
          <w:lang w:val="en-GB"/>
        </w:rPr>
        <w:t xml:space="preserve"> promoted by the Fund</w:t>
      </w:r>
      <w:r w:rsidR="001E3E7B">
        <w:rPr>
          <w:lang w:val="en-GB"/>
        </w:rPr>
        <w:t xml:space="preserve">, as GRESB takes </w:t>
      </w:r>
      <w:r w:rsidR="00D31A00">
        <w:rPr>
          <w:lang w:val="en-GB"/>
        </w:rPr>
        <w:t>multiple ESG dimensions into account</w:t>
      </w:r>
      <w:r w:rsidR="006630BB">
        <w:rPr>
          <w:lang w:val="en-GB"/>
        </w:rPr>
        <w:t xml:space="preserve">, while cross </w:t>
      </w:r>
      <w:r w:rsidR="00962FEF" w:rsidRPr="00962FEF">
        <w:rPr>
          <w:lang w:val="en-GB"/>
        </w:rPr>
        <w:t>references to standards like the UN SDG’s or TCFD ensure a holistic approach</w:t>
      </w:r>
      <w:r w:rsidR="00962FEF">
        <w:rPr>
          <w:lang w:val="en-GB"/>
        </w:rPr>
        <w:t xml:space="preserve">. </w:t>
      </w:r>
    </w:p>
    <w:p w14:paraId="0BBFCBB5" w14:textId="77777777" w:rsidR="00784530" w:rsidRDefault="00784530" w:rsidP="001F5AEE">
      <w:pPr>
        <w:pStyle w:val="BodyText"/>
        <w:spacing w:before="114" w:after="120"/>
        <w:ind w:left="136" w:right="136"/>
        <w:jc w:val="both"/>
        <w:rPr>
          <w:lang w:val="en-GB"/>
        </w:rPr>
      </w:pPr>
    </w:p>
    <w:p w14:paraId="26869CA7" w14:textId="57F6A809" w:rsidR="004802B4" w:rsidRDefault="00AD40C3" w:rsidP="001F5AEE">
      <w:pPr>
        <w:pStyle w:val="BodyText"/>
        <w:spacing w:before="114" w:after="120"/>
        <w:ind w:left="136" w:right="136"/>
        <w:jc w:val="both"/>
        <w:rPr>
          <w:lang w:val="en-GB"/>
        </w:rPr>
      </w:pPr>
      <w:r>
        <w:rPr>
          <w:lang w:val="en-GB"/>
        </w:rPr>
        <w:t>Insight in</w:t>
      </w:r>
      <w:r w:rsidR="00AC68BB">
        <w:rPr>
          <w:lang w:val="en-GB"/>
        </w:rPr>
        <w:t>to the GRES</w:t>
      </w:r>
      <w:r w:rsidR="00921BE1">
        <w:rPr>
          <w:lang w:val="en-GB"/>
        </w:rPr>
        <w:t>B</w:t>
      </w:r>
      <w:r w:rsidR="00AC68BB">
        <w:rPr>
          <w:lang w:val="en-GB"/>
        </w:rPr>
        <w:t xml:space="preserve"> process can be found here: </w:t>
      </w:r>
      <w:hyperlink r:id="rId13" w:history="1">
        <w:r w:rsidR="00A15B7B" w:rsidRPr="002D44CD">
          <w:rPr>
            <w:rStyle w:val="Hyperlink"/>
            <w:lang w:val="en-GB"/>
          </w:rPr>
          <w:t>https://www.gresb.com/nl-en/real-estate-assessment/</w:t>
        </w:r>
      </w:hyperlink>
      <w:r w:rsidR="00A15B7B">
        <w:rPr>
          <w:lang w:val="en-GB"/>
        </w:rPr>
        <w:t xml:space="preserve">. </w:t>
      </w:r>
    </w:p>
    <w:p w14:paraId="2C994477" w14:textId="77777777" w:rsidR="00784530" w:rsidRDefault="00784530" w:rsidP="001F5AEE">
      <w:pPr>
        <w:pStyle w:val="BodyText"/>
        <w:spacing w:before="114" w:after="120"/>
        <w:ind w:left="136" w:right="136"/>
        <w:jc w:val="both"/>
        <w:rPr>
          <w:lang w:val="en-GB"/>
        </w:rPr>
      </w:pPr>
    </w:p>
    <w:p w14:paraId="472E949C" w14:textId="6E9AADA7" w:rsidR="00AE1432" w:rsidRDefault="00F238C2" w:rsidP="001F5AEE">
      <w:pPr>
        <w:pStyle w:val="BodyText"/>
        <w:spacing w:before="114" w:after="120"/>
        <w:ind w:left="136" w:right="136"/>
        <w:jc w:val="both"/>
        <w:rPr>
          <w:lang w:val="en-GB"/>
        </w:rPr>
      </w:pPr>
      <w:r>
        <w:rPr>
          <w:lang w:val="en-GB"/>
        </w:rPr>
        <w:t>D</w:t>
      </w:r>
      <w:r w:rsidRPr="00F238C2">
        <w:rPr>
          <w:lang w:val="en-GB"/>
        </w:rPr>
        <w:t>etailed information on how data is validated and scored can be found</w:t>
      </w:r>
      <w:r>
        <w:rPr>
          <w:lang w:val="en-GB"/>
        </w:rPr>
        <w:t xml:space="preserve"> here: </w:t>
      </w:r>
      <w:hyperlink r:id="rId14" w:history="1">
        <w:r w:rsidR="000C426E" w:rsidRPr="002D44CD">
          <w:rPr>
            <w:rStyle w:val="Hyperlink"/>
            <w:lang w:val="en-GB"/>
          </w:rPr>
          <w:t>https://documents.gresb.com/generated_files/real_estate/2022/real_estate/scoring_document/complete.html</w:t>
        </w:r>
      </w:hyperlink>
      <w:r w:rsidR="000C426E">
        <w:rPr>
          <w:lang w:val="en-GB"/>
        </w:rPr>
        <w:t xml:space="preserve">. </w:t>
      </w:r>
    </w:p>
    <w:p w14:paraId="2CB4FC25" w14:textId="15EC7AC3" w:rsidR="005738AE" w:rsidRDefault="005738AE" w:rsidP="001F5AEE">
      <w:pPr>
        <w:pStyle w:val="BodyText"/>
        <w:spacing w:before="114" w:after="120"/>
        <w:ind w:left="136" w:right="136"/>
        <w:jc w:val="both"/>
        <w:rPr>
          <w:lang w:val="en-GB"/>
        </w:rPr>
      </w:pPr>
    </w:p>
    <w:p w14:paraId="2C2E44C3" w14:textId="0610AFFB" w:rsidR="00784530" w:rsidRDefault="00784530" w:rsidP="001F5AEE">
      <w:pPr>
        <w:pStyle w:val="BodyText"/>
        <w:spacing w:before="114" w:after="120"/>
        <w:ind w:left="136" w:right="136"/>
        <w:jc w:val="both"/>
        <w:rPr>
          <w:lang w:val="en-GB"/>
        </w:rPr>
      </w:pPr>
    </w:p>
    <w:p w14:paraId="493BDA11" w14:textId="7BBDE8D0" w:rsidR="00784530" w:rsidRDefault="00784530" w:rsidP="001F5AEE">
      <w:pPr>
        <w:pStyle w:val="BodyText"/>
        <w:spacing w:before="114" w:after="120"/>
        <w:ind w:left="136" w:right="136"/>
        <w:jc w:val="both"/>
        <w:rPr>
          <w:lang w:val="en-GB"/>
        </w:rPr>
      </w:pPr>
    </w:p>
    <w:p w14:paraId="5259E8BB" w14:textId="3099974E" w:rsidR="005738AE" w:rsidRDefault="005738AE" w:rsidP="00BB5636">
      <w:pPr>
        <w:pStyle w:val="Heading1"/>
        <w:contextualSpacing/>
        <w:jc w:val="both"/>
        <w:rPr>
          <w:lang w:val="en-GB"/>
        </w:rPr>
      </w:pPr>
      <w:r>
        <w:rPr>
          <w:lang w:val="en-GB"/>
        </w:rPr>
        <w:t>REVIEW OF DISCLOSURES – SFDR ARTICLE 12</w:t>
      </w:r>
    </w:p>
    <w:p w14:paraId="2F42C8FA" w14:textId="74FC55BE" w:rsidR="005738AE" w:rsidRDefault="005738AE" w:rsidP="001F5AEE">
      <w:pPr>
        <w:pStyle w:val="BodyText"/>
        <w:spacing w:before="114" w:after="120"/>
        <w:ind w:left="136" w:right="136"/>
        <w:jc w:val="both"/>
        <w:rPr>
          <w:lang w:val="en-GB"/>
        </w:rPr>
      </w:pPr>
      <w:r w:rsidRPr="005738AE">
        <w:rPr>
          <w:lang w:val="en-GB"/>
        </w:rPr>
        <w:t xml:space="preserve">According to Article 12 of the SFDR, the website disclosure </w:t>
      </w:r>
      <w:r w:rsidR="009A3944">
        <w:rPr>
          <w:lang w:val="en-GB"/>
        </w:rPr>
        <w:t xml:space="preserve">in Article 10 of the SFDR </w:t>
      </w:r>
      <w:r w:rsidRPr="005738AE">
        <w:rPr>
          <w:lang w:val="en-GB"/>
        </w:rPr>
        <w:t>shall be kept up to date and a clear explanation of any amendments shall be published.</w:t>
      </w:r>
    </w:p>
    <w:p w14:paraId="46397FE3" w14:textId="77777777" w:rsidR="008E56DC" w:rsidRDefault="008E56DC" w:rsidP="001F5AEE">
      <w:pPr>
        <w:pStyle w:val="BodyText"/>
        <w:spacing w:before="114" w:after="120"/>
        <w:ind w:left="136" w:right="136"/>
        <w:jc w:val="both"/>
        <w:rPr>
          <w:lang w:val="en-GB"/>
        </w:rPr>
      </w:pPr>
    </w:p>
    <w:tbl>
      <w:tblPr>
        <w:tblStyle w:val="TableGrid"/>
        <w:tblW w:w="0" w:type="auto"/>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ook w:val="04A0" w:firstRow="1" w:lastRow="0" w:firstColumn="1" w:lastColumn="0" w:noHBand="0" w:noVBand="1"/>
      </w:tblPr>
      <w:tblGrid>
        <w:gridCol w:w="1977"/>
        <w:gridCol w:w="1974"/>
        <w:gridCol w:w="4441"/>
      </w:tblGrid>
      <w:tr w:rsidR="005738AE" w:rsidRPr="005738AE" w14:paraId="6F78C1D9" w14:textId="77777777" w:rsidTr="005738AE">
        <w:tc>
          <w:tcPr>
            <w:tcW w:w="1977" w:type="dxa"/>
            <w:tcBorders>
              <w:bottom w:val="single" w:sz="4" w:space="0" w:color="F4B083"/>
            </w:tcBorders>
            <w:shd w:val="clear" w:color="auto" w:fill="F2F2F2"/>
          </w:tcPr>
          <w:p w14:paraId="2E0463CC" w14:textId="77777777" w:rsidR="005738AE" w:rsidRPr="005738AE" w:rsidRDefault="005738AE" w:rsidP="00BB5636">
            <w:pPr>
              <w:spacing w:before="120"/>
              <w:ind w:right="133"/>
              <w:contextualSpacing/>
              <w:jc w:val="both"/>
              <w:rPr>
                <w:b/>
                <w:bCs/>
                <w:sz w:val="18"/>
                <w:szCs w:val="18"/>
                <w:lang w:val="en-GB"/>
              </w:rPr>
            </w:pPr>
            <w:r w:rsidRPr="005738AE">
              <w:rPr>
                <w:b/>
                <w:bCs/>
                <w:sz w:val="18"/>
                <w:szCs w:val="18"/>
                <w:lang w:val="en-GB"/>
              </w:rPr>
              <w:t>Date of review</w:t>
            </w:r>
          </w:p>
        </w:tc>
        <w:tc>
          <w:tcPr>
            <w:tcW w:w="1974" w:type="dxa"/>
            <w:tcBorders>
              <w:bottom w:val="single" w:sz="4" w:space="0" w:color="F4B083"/>
            </w:tcBorders>
            <w:shd w:val="clear" w:color="auto" w:fill="F2F2F2"/>
          </w:tcPr>
          <w:p w14:paraId="79755E13" w14:textId="77777777" w:rsidR="005738AE" w:rsidRPr="005738AE" w:rsidRDefault="005738AE" w:rsidP="00BB5636">
            <w:pPr>
              <w:spacing w:before="120"/>
              <w:ind w:right="133"/>
              <w:contextualSpacing/>
              <w:jc w:val="both"/>
              <w:rPr>
                <w:b/>
                <w:bCs/>
                <w:sz w:val="18"/>
                <w:szCs w:val="18"/>
                <w:lang w:val="en-GB"/>
              </w:rPr>
            </w:pPr>
            <w:r w:rsidRPr="005738AE">
              <w:rPr>
                <w:b/>
                <w:bCs/>
                <w:sz w:val="18"/>
                <w:szCs w:val="18"/>
                <w:lang w:val="en-GB"/>
              </w:rPr>
              <w:t>Version no.</w:t>
            </w:r>
          </w:p>
        </w:tc>
        <w:tc>
          <w:tcPr>
            <w:tcW w:w="4441" w:type="dxa"/>
            <w:tcBorders>
              <w:bottom w:val="single" w:sz="4" w:space="0" w:color="F4B083"/>
            </w:tcBorders>
            <w:shd w:val="clear" w:color="auto" w:fill="F2F2F2"/>
          </w:tcPr>
          <w:p w14:paraId="26A6FE5B" w14:textId="77777777" w:rsidR="005738AE" w:rsidRPr="005738AE" w:rsidRDefault="005738AE" w:rsidP="00BB5636">
            <w:pPr>
              <w:spacing w:before="120"/>
              <w:ind w:right="133"/>
              <w:contextualSpacing/>
              <w:jc w:val="both"/>
              <w:rPr>
                <w:b/>
                <w:bCs/>
                <w:sz w:val="18"/>
                <w:szCs w:val="18"/>
                <w:lang w:val="en-GB"/>
              </w:rPr>
            </w:pPr>
            <w:r w:rsidRPr="005738AE">
              <w:rPr>
                <w:b/>
                <w:bCs/>
                <w:sz w:val="18"/>
                <w:szCs w:val="18"/>
                <w:lang w:val="en-GB"/>
              </w:rPr>
              <w:t>Description of amendment</w:t>
            </w:r>
          </w:p>
        </w:tc>
      </w:tr>
      <w:tr w:rsidR="005738AE" w:rsidRPr="00E86AE8" w14:paraId="3B4A2F4E" w14:textId="77777777" w:rsidTr="005738AE">
        <w:tc>
          <w:tcPr>
            <w:tcW w:w="1977" w:type="dxa"/>
            <w:tcBorders>
              <w:top w:val="single" w:sz="4" w:space="0" w:color="F4B083"/>
            </w:tcBorders>
            <w:shd w:val="clear" w:color="auto" w:fill="F2F2F2"/>
          </w:tcPr>
          <w:p w14:paraId="06B1850A" w14:textId="1E117006" w:rsidR="005738AE" w:rsidRPr="005738AE" w:rsidRDefault="005738AE" w:rsidP="00BB5636">
            <w:pPr>
              <w:spacing w:before="120"/>
              <w:ind w:right="133"/>
              <w:contextualSpacing/>
              <w:jc w:val="both"/>
              <w:rPr>
                <w:sz w:val="18"/>
                <w:szCs w:val="18"/>
                <w:lang w:val="en-GB"/>
              </w:rPr>
            </w:pPr>
            <w:r>
              <w:rPr>
                <w:sz w:val="18"/>
                <w:szCs w:val="18"/>
                <w:lang w:val="en-GB"/>
              </w:rPr>
              <w:t>September 2022</w:t>
            </w:r>
          </w:p>
        </w:tc>
        <w:tc>
          <w:tcPr>
            <w:tcW w:w="1974" w:type="dxa"/>
            <w:tcBorders>
              <w:top w:val="single" w:sz="4" w:space="0" w:color="F4B083"/>
            </w:tcBorders>
            <w:shd w:val="clear" w:color="auto" w:fill="F2F2F2"/>
          </w:tcPr>
          <w:p w14:paraId="634996FD" w14:textId="77777777" w:rsidR="005738AE" w:rsidRPr="005738AE" w:rsidRDefault="005738AE" w:rsidP="00BB5636">
            <w:pPr>
              <w:spacing w:before="120"/>
              <w:ind w:right="133"/>
              <w:contextualSpacing/>
              <w:jc w:val="both"/>
              <w:rPr>
                <w:sz w:val="18"/>
                <w:szCs w:val="18"/>
                <w:lang w:val="en-GB"/>
              </w:rPr>
            </w:pPr>
            <w:r w:rsidRPr="005738AE">
              <w:rPr>
                <w:sz w:val="18"/>
                <w:szCs w:val="18"/>
                <w:lang w:val="en-GB"/>
              </w:rPr>
              <w:t>1</w:t>
            </w:r>
          </w:p>
        </w:tc>
        <w:tc>
          <w:tcPr>
            <w:tcW w:w="4441" w:type="dxa"/>
            <w:tcBorders>
              <w:top w:val="single" w:sz="4" w:space="0" w:color="F4B083"/>
            </w:tcBorders>
            <w:shd w:val="clear" w:color="auto" w:fill="F2F2F2"/>
          </w:tcPr>
          <w:p w14:paraId="19325742" w14:textId="64A87391" w:rsidR="005738AE" w:rsidRPr="005738AE" w:rsidRDefault="005738AE" w:rsidP="00BB5636">
            <w:pPr>
              <w:spacing w:before="120"/>
              <w:ind w:right="133"/>
              <w:contextualSpacing/>
              <w:jc w:val="both"/>
              <w:rPr>
                <w:sz w:val="18"/>
                <w:szCs w:val="18"/>
                <w:lang w:val="en-GB"/>
              </w:rPr>
            </w:pPr>
            <w:r w:rsidRPr="005738AE">
              <w:rPr>
                <w:sz w:val="18"/>
                <w:szCs w:val="18"/>
                <w:lang w:val="en-GB"/>
              </w:rPr>
              <w:t xml:space="preserve">Original version of </w:t>
            </w:r>
            <w:r>
              <w:rPr>
                <w:sz w:val="18"/>
                <w:szCs w:val="18"/>
                <w:lang w:val="en-GB"/>
              </w:rPr>
              <w:t>the Fund’s</w:t>
            </w:r>
            <w:r w:rsidRPr="005738AE">
              <w:rPr>
                <w:sz w:val="18"/>
                <w:szCs w:val="18"/>
                <w:lang w:val="en-GB"/>
              </w:rPr>
              <w:t xml:space="preserve"> SFDR disclosure</w:t>
            </w:r>
          </w:p>
        </w:tc>
      </w:tr>
    </w:tbl>
    <w:p w14:paraId="6E960548" w14:textId="77777777" w:rsidR="00381D84" w:rsidRPr="00C835FF" w:rsidRDefault="00381D84" w:rsidP="001F5AEE">
      <w:pPr>
        <w:pStyle w:val="BodyText"/>
        <w:spacing w:before="114" w:after="120"/>
        <w:ind w:left="136" w:right="136"/>
        <w:jc w:val="both"/>
        <w:rPr>
          <w:lang w:val="en-GB"/>
        </w:rPr>
      </w:pPr>
    </w:p>
    <w:p w14:paraId="0C559884" w14:textId="77777777" w:rsidR="00381D84" w:rsidRPr="00C835FF" w:rsidRDefault="00381D84" w:rsidP="001F5AEE">
      <w:pPr>
        <w:pStyle w:val="BodyText"/>
        <w:spacing w:before="114" w:after="120"/>
        <w:ind w:left="136" w:right="136"/>
        <w:jc w:val="both"/>
        <w:rPr>
          <w:lang w:val="en-GB"/>
        </w:rPr>
      </w:pPr>
    </w:p>
    <w:p w14:paraId="7887B144" w14:textId="67679151" w:rsidR="00381D84" w:rsidRPr="00C835FF" w:rsidRDefault="009B628D" w:rsidP="001F5AEE">
      <w:pPr>
        <w:pStyle w:val="BodyText"/>
        <w:spacing w:before="114" w:after="120"/>
        <w:ind w:left="136" w:right="136"/>
        <w:jc w:val="both"/>
        <w:rPr>
          <w:lang w:val="en-GB"/>
        </w:rPr>
      </w:pPr>
      <w:r w:rsidRPr="00690A28">
        <w:rPr>
          <w:lang w:val="en-GB"/>
        </w:rPr>
        <w:t>For</w:t>
      </w:r>
      <w:r w:rsidRPr="00C835FF">
        <w:rPr>
          <w:lang w:val="en-GB"/>
        </w:rPr>
        <w:t xml:space="preserve"> </w:t>
      </w:r>
      <w:r w:rsidRPr="00690A28">
        <w:rPr>
          <w:lang w:val="en-GB"/>
        </w:rPr>
        <w:t>further</w:t>
      </w:r>
      <w:r w:rsidRPr="00C835FF">
        <w:rPr>
          <w:lang w:val="en-GB"/>
        </w:rPr>
        <w:t xml:space="preserve"> </w:t>
      </w:r>
      <w:r w:rsidRPr="00690A28">
        <w:rPr>
          <w:lang w:val="en-GB"/>
        </w:rPr>
        <w:t>information,</w:t>
      </w:r>
      <w:r w:rsidRPr="00C835FF">
        <w:rPr>
          <w:lang w:val="en-GB"/>
        </w:rPr>
        <w:t xml:space="preserve"> </w:t>
      </w:r>
      <w:r w:rsidRPr="00690A28">
        <w:rPr>
          <w:lang w:val="en-GB"/>
        </w:rPr>
        <w:t>please</w:t>
      </w:r>
      <w:r w:rsidRPr="00C835FF">
        <w:rPr>
          <w:lang w:val="en-GB"/>
        </w:rPr>
        <w:t xml:space="preserve"> </w:t>
      </w:r>
      <w:r w:rsidRPr="00690A28">
        <w:rPr>
          <w:lang w:val="en-GB"/>
        </w:rPr>
        <w:t>contact:</w:t>
      </w:r>
    </w:p>
    <w:p w14:paraId="08A86508" w14:textId="77777777" w:rsidR="00381D84" w:rsidRPr="00C835FF" w:rsidRDefault="00381D84" w:rsidP="001F5AEE">
      <w:pPr>
        <w:pStyle w:val="BodyText"/>
        <w:spacing w:before="114" w:after="120"/>
        <w:ind w:left="136" w:right="136"/>
        <w:jc w:val="both"/>
        <w:rPr>
          <w:lang w:val="en-GB"/>
        </w:rPr>
      </w:pPr>
    </w:p>
    <w:p w14:paraId="3F38A9F7" w14:textId="77777777" w:rsidR="00381D84" w:rsidRPr="00C835FF" w:rsidRDefault="00381D84" w:rsidP="001F5AEE">
      <w:pPr>
        <w:pStyle w:val="BodyText"/>
        <w:spacing w:before="114" w:after="120"/>
        <w:ind w:left="136" w:right="136"/>
        <w:jc w:val="both"/>
        <w:rPr>
          <w:lang w:val="en-GB"/>
        </w:rPr>
      </w:pPr>
    </w:p>
    <w:p w14:paraId="7BDD3C32" w14:textId="77777777" w:rsidR="00381D84" w:rsidRPr="00C835FF" w:rsidRDefault="00381D84" w:rsidP="001F5AEE">
      <w:pPr>
        <w:pStyle w:val="BodyText"/>
        <w:spacing w:before="114" w:after="120"/>
        <w:ind w:left="136" w:right="136"/>
        <w:jc w:val="both"/>
        <w:rPr>
          <w:lang w:val="en-GB"/>
        </w:rPr>
      </w:pPr>
    </w:p>
    <w:p w14:paraId="715B57B3" w14:textId="77777777" w:rsidR="00381D84" w:rsidRPr="00690A28" w:rsidRDefault="009B628D" w:rsidP="001F5AEE">
      <w:pPr>
        <w:pStyle w:val="BodyText"/>
        <w:spacing w:before="114" w:after="120"/>
        <w:ind w:left="136" w:right="136"/>
        <w:jc w:val="both"/>
        <w:rPr>
          <w:lang w:val="en-GB"/>
        </w:rPr>
      </w:pPr>
      <w:r w:rsidRPr="00690A28">
        <w:rPr>
          <w:lang w:val="en-GB"/>
        </w:rPr>
        <w:t>David</w:t>
      </w:r>
      <w:r w:rsidRPr="00C835FF">
        <w:rPr>
          <w:lang w:val="en-GB"/>
        </w:rPr>
        <w:t xml:space="preserve"> </w:t>
      </w:r>
      <w:r w:rsidRPr="00690A28">
        <w:rPr>
          <w:lang w:val="en-GB"/>
        </w:rPr>
        <w:t>C.</w:t>
      </w:r>
      <w:r w:rsidRPr="00C835FF">
        <w:rPr>
          <w:lang w:val="en-GB"/>
        </w:rPr>
        <w:t xml:space="preserve"> </w:t>
      </w:r>
      <w:r w:rsidRPr="00690A28">
        <w:rPr>
          <w:lang w:val="en-GB"/>
        </w:rPr>
        <w:t>Neil</w:t>
      </w:r>
    </w:p>
    <w:p w14:paraId="584072E0" w14:textId="1C0D0BCA" w:rsidR="00381D84" w:rsidRPr="00690A28" w:rsidRDefault="009B628D" w:rsidP="001F5AEE">
      <w:pPr>
        <w:pStyle w:val="BodyText"/>
        <w:spacing w:before="114" w:after="120"/>
        <w:ind w:left="136" w:right="136"/>
        <w:jc w:val="both"/>
        <w:rPr>
          <w:lang w:val="en-GB"/>
        </w:rPr>
      </w:pPr>
      <w:r w:rsidRPr="00690A28">
        <w:rPr>
          <w:lang w:val="en-GB"/>
        </w:rPr>
        <w:t>CEO,</w:t>
      </w:r>
      <w:r w:rsidRPr="00C835FF">
        <w:rPr>
          <w:lang w:val="en-GB"/>
        </w:rPr>
        <w:t xml:space="preserve"> </w:t>
      </w:r>
      <w:r w:rsidR="002D2D69">
        <w:rPr>
          <w:lang w:val="en-GB"/>
        </w:rPr>
        <w:t>R</w:t>
      </w:r>
      <w:r w:rsidRPr="00690A28">
        <w:rPr>
          <w:lang w:val="en-GB"/>
        </w:rPr>
        <w:t>esponsible</w:t>
      </w:r>
      <w:r w:rsidRPr="00C835FF">
        <w:rPr>
          <w:lang w:val="en-GB"/>
        </w:rPr>
        <w:t xml:space="preserve"> </w:t>
      </w:r>
      <w:r w:rsidRPr="00690A28">
        <w:rPr>
          <w:lang w:val="en-GB"/>
        </w:rPr>
        <w:t>Sustainability</w:t>
      </w:r>
    </w:p>
    <w:p w14:paraId="6585DDC4" w14:textId="77777777" w:rsidR="00C835FF" w:rsidRPr="002C3615" w:rsidRDefault="009B628D" w:rsidP="001F5AEE">
      <w:pPr>
        <w:pStyle w:val="BodyText"/>
        <w:spacing w:before="114" w:after="120"/>
        <w:ind w:left="136" w:right="136"/>
        <w:jc w:val="both"/>
        <w:rPr>
          <w:lang w:val="de-DE"/>
        </w:rPr>
      </w:pPr>
      <w:r w:rsidRPr="002C3615">
        <w:rPr>
          <w:lang w:val="de-DE"/>
        </w:rPr>
        <w:t>+46 8 506 497 14 (</w:t>
      </w:r>
      <w:r w:rsidRPr="00E86AE8">
        <w:t>direct</w:t>
      </w:r>
      <w:r w:rsidRPr="002C3615">
        <w:rPr>
          <w:lang w:val="de-DE"/>
        </w:rPr>
        <w:t>)</w:t>
      </w:r>
    </w:p>
    <w:p w14:paraId="3B83D72A" w14:textId="44AC09B2" w:rsidR="00381D84" w:rsidRPr="002C3615" w:rsidRDefault="001F5AEE" w:rsidP="001F5AEE">
      <w:pPr>
        <w:pStyle w:val="BodyText"/>
        <w:spacing w:before="114" w:after="120"/>
        <w:ind w:left="136" w:right="136"/>
        <w:jc w:val="both"/>
        <w:rPr>
          <w:rStyle w:val="Hyperlink"/>
          <w:lang w:val="de-DE"/>
        </w:rPr>
      </w:pPr>
      <w:r>
        <w:rPr>
          <w:lang w:val="en-GB"/>
        </w:rPr>
        <w:fldChar w:fldCharType="begin"/>
      </w:r>
      <w:r w:rsidRPr="002C3615">
        <w:rPr>
          <w:lang w:val="de-DE"/>
        </w:rPr>
        <w:instrText xml:space="preserve"> HYPERLINK "mailto:david.neil@genesta.se" </w:instrText>
      </w:r>
      <w:r>
        <w:rPr>
          <w:lang w:val="en-GB"/>
        </w:rPr>
      </w:r>
      <w:r>
        <w:rPr>
          <w:lang w:val="en-GB"/>
        </w:rPr>
        <w:fldChar w:fldCharType="separate"/>
      </w:r>
      <w:r w:rsidR="009B628D" w:rsidRPr="002C3615">
        <w:rPr>
          <w:rStyle w:val="Hyperlink"/>
          <w:lang w:val="de-DE"/>
        </w:rPr>
        <w:t>david.neil@genesta.se</w:t>
      </w:r>
    </w:p>
    <w:p w14:paraId="4BE22D4A" w14:textId="1E84DE7A" w:rsidR="00381D84" w:rsidRPr="002C3615" w:rsidRDefault="001F5AEE" w:rsidP="001F5AEE">
      <w:pPr>
        <w:pStyle w:val="BodyText"/>
        <w:spacing w:before="114" w:after="120"/>
        <w:ind w:left="136" w:right="136"/>
        <w:jc w:val="both"/>
        <w:rPr>
          <w:lang w:val="de-DE"/>
        </w:rPr>
      </w:pPr>
      <w:r>
        <w:rPr>
          <w:lang w:val="en-GB"/>
        </w:rPr>
        <w:fldChar w:fldCharType="end"/>
      </w:r>
    </w:p>
    <w:p w14:paraId="3EF05137" w14:textId="77777777" w:rsidR="00381D84" w:rsidRPr="002C3615" w:rsidRDefault="009B628D" w:rsidP="001F5AEE">
      <w:pPr>
        <w:pStyle w:val="BodyText"/>
        <w:spacing w:before="114" w:after="120"/>
        <w:ind w:left="136" w:right="136"/>
        <w:jc w:val="both"/>
        <w:rPr>
          <w:lang w:val="de-DE"/>
        </w:rPr>
      </w:pPr>
      <w:r w:rsidRPr="002C3615">
        <w:rPr>
          <w:lang w:val="de-DE"/>
        </w:rPr>
        <w:t>Philip Björk</w:t>
      </w:r>
    </w:p>
    <w:p w14:paraId="246882F3" w14:textId="77777777" w:rsidR="00381D84" w:rsidRPr="00690A28" w:rsidRDefault="009B628D" w:rsidP="001F5AEE">
      <w:pPr>
        <w:pStyle w:val="BodyText"/>
        <w:spacing w:before="114" w:after="120"/>
        <w:ind w:left="136" w:right="136"/>
        <w:jc w:val="both"/>
        <w:rPr>
          <w:lang w:val="en-GB"/>
        </w:rPr>
      </w:pPr>
      <w:r w:rsidRPr="00690A28">
        <w:rPr>
          <w:lang w:val="en-GB"/>
        </w:rPr>
        <w:t>Head</w:t>
      </w:r>
      <w:r w:rsidRPr="00C835FF">
        <w:rPr>
          <w:lang w:val="en-GB"/>
        </w:rPr>
        <w:t xml:space="preserve"> </w:t>
      </w:r>
      <w:r w:rsidRPr="00690A28">
        <w:rPr>
          <w:lang w:val="en-GB"/>
        </w:rPr>
        <w:t>of</w:t>
      </w:r>
      <w:r w:rsidRPr="00C835FF">
        <w:rPr>
          <w:lang w:val="en-GB"/>
        </w:rPr>
        <w:t xml:space="preserve"> </w:t>
      </w:r>
      <w:r w:rsidRPr="00690A28">
        <w:rPr>
          <w:lang w:val="en-GB"/>
        </w:rPr>
        <w:t>Investor</w:t>
      </w:r>
      <w:r w:rsidRPr="00C835FF">
        <w:rPr>
          <w:lang w:val="en-GB"/>
        </w:rPr>
        <w:t xml:space="preserve"> </w:t>
      </w:r>
      <w:r w:rsidRPr="00690A28">
        <w:rPr>
          <w:lang w:val="en-GB"/>
        </w:rPr>
        <w:t>Relations</w:t>
      </w:r>
    </w:p>
    <w:p w14:paraId="2D40D919" w14:textId="77777777" w:rsidR="00C835FF" w:rsidRPr="001F5AEE" w:rsidRDefault="009B628D" w:rsidP="001F5AEE">
      <w:pPr>
        <w:pStyle w:val="BodyText"/>
        <w:spacing w:before="114" w:after="120"/>
        <w:ind w:left="136" w:right="136"/>
        <w:jc w:val="both"/>
        <w:rPr>
          <w:lang w:val="en-GB"/>
        </w:rPr>
      </w:pPr>
      <w:r w:rsidRPr="00690A28">
        <w:rPr>
          <w:lang w:val="en-GB"/>
        </w:rPr>
        <w:t>+46 8 506 497 15 (direct)</w:t>
      </w:r>
      <w:r w:rsidRPr="001F5AEE">
        <w:rPr>
          <w:lang w:val="en-GB"/>
        </w:rPr>
        <w:t xml:space="preserve"> </w:t>
      </w:r>
    </w:p>
    <w:p w14:paraId="58746131" w14:textId="75327975" w:rsidR="00381D84" w:rsidRPr="00690A28" w:rsidRDefault="00E86AE8" w:rsidP="001F5AEE">
      <w:pPr>
        <w:pStyle w:val="BodyText"/>
        <w:spacing w:before="114" w:after="120"/>
        <w:ind w:left="136" w:right="136"/>
        <w:jc w:val="both"/>
        <w:rPr>
          <w:lang w:val="en-GB"/>
        </w:rPr>
      </w:pPr>
      <w:hyperlink r:id="rId15" w:history="1">
        <w:r w:rsidR="00C835FF" w:rsidRPr="001F5AEE">
          <w:rPr>
            <w:rStyle w:val="Hyperlink"/>
            <w:lang w:val="en-GB"/>
          </w:rPr>
          <w:t>philip.bjork@genesta.se</w:t>
        </w:r>
      </w:hyperlink>
    </w:p>
    <w:sectPr w:rsidR="00381D84" w:rsidRPr="00690A28">
      <w:headerReference w:type="default" r:id="rId16"/>
      <w:footerReference w:type="default" r:id="rId17"/>
      <w:pgSz w:w="11910" w:h="16840"/>
      <w:pgMar w:top="1660" w:right="1680" w:bottom="1020" w:left="1680" w:header="828" w:footer="8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581B" w14:textId="77777777" w:rsidR="00ED5F96" w:rsidRDefault="00ED5F96">
      <w:r>
        <w:separator/>
      </w:r>
    </w:p>
  </w:endnote>
  <w:endnote w:type="continuationSeparator" w:id="0">
    <w:p w14:paraId="71EC9AB3" w14:textId="77777777" w:rsidR="00ED5F96" w:rsidRDefault="00ED5F96">
      <w:r>
        <w:continuationSeparator/>
      </w:r>
    </w:p>
  </w:endnote>
  <w:endnote w:type="continuationNotice" w:id="1">
    <w:p w14:paraId="6608F4C4" w14:textId="77777777" w:rsidR="00ED5F96" w:rsidRDefault="00ED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10100"/>
      <w:docPartObj>
        <w:docPartGallery w:val="Page Numbers (Bottom of Page)"/>
        <w:docPartUnique/>
      </w:docPartObj>
    </w:sdtPr>
    <w:sdtEndPr>
      <w:rPr>
        <w:noProof/>
      </w:rPr>
    </w:sdtEndPr>
    <w:sdtContent>
      <w:p w14:paraId="2110D904" w14:textId="368B6FD2" w:rsidR="00ED1F3A" w:rsidRDefault="00ED1F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8E1AF4" w14:textId="78459923" w:rsidR="00381D84" w:rsidRDefault="00381D8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A5B9" w14:textId="77777777" w:rsidR="00ED5F96" w:rsidRDefault="00ED5F96">
      <w:r>
        <w:separator/>
      </w:r>
    </w:p>
  </w:footnote>
  <w:footnote w:type="continuationSeparator" w:id="0">
    <w:p w14:paraId="736D200D" w14:textId="77777777" w:rsidR="00ED5F96" w:rsidRDefault="00ED5F96">
      <w:r>
        <w:continuationSeparator/>
      </w:r>
    </w:p>
  </w:footnote>
  <w:footnote w:type="continuationNotice" w:id="1">
    <w:p w14:paraId="392BBC05" w14:textId="77777777" w:rsidR="00ED5F96" w:rsidRDefault="00ED5F96"/>
  </w:footnote>
  <w:footnote w:id="2">
    <w:p w14:paraId="41F7AA16" w14:textId="77777777" w:rsidR="008A42F7" w:rsidRPr="00DB7025" w:rsidRDefault="008A42F7" w:rsidP="008A42F7">
      <w:pPr>
        <w:pStyle w:val="FootnoteText"/>
        <w:rPr>
          <w:sz w:val="16"/>
          <w:szCs w:val="14"/>
          <w:lang w:val="en-GB"/>
        </w:rPr>
      </w:pPr>
      <w:r w:rsidRPr="00DB7025">
        <w:rPr>
          <w:rStyle w:val="FootnoteReference"/>
          <w:sz w:val="16"/>
          <w:szCs w:val="14"/>
        </w:rPr>
        <w:footnoteRef/>
      </w:r>
      <w:r w:rsidRPr="00DB7025">
        <w:rPr>
          <w:sz w:val="16"/>
          <w:szCs w:val="14"/>
        </w:rPr>
        <w:t xml:space="preserve"> High quality data shall follow </w:t>
      </w:r>
      <w:r>
        <w:rPr>
          <w:sz w:val="16"/>
          <w:szCs w:val="14"/>
        </w:rPr>
        <w:t xml:space="preserve">the </w:t>
      </w:r>
      <w:r w:rsidRPr="00DB7025">
        <w:rPr>
          <w:sz w:val="16"/>
          <w:szCs w:val="14"/>
        </w:rPr>
        <w:t>definition for data quality “Score 1” of the Partnership for Carbon Accounting Financials.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C502" w14:textId="77777777" w:rsidR="00381D84" w:rsidRDefault="009B628D">
    <w:pPr>
      <w:pStyle w:val="BodyText"/>
      <w:spacing w:line="14" w:lineRule="auto"/>
      <w:ind w:left="0"/>
      <w:rPr>
        <w:sz w:val="20"/>
      </w:rPr>
    </w:pPr>
    <w:r>
      <w:rPr>
        <w:noProof/>
      </w:rPr>
      <w:drawing>
        <wp:anchor distT="0" distB="0" distL="0" distR="0" simplePos="0" relativeHeight="251658240" behindDoc="1" locked="0" layoutInCell="1" allowOverlap="1" wp14:anchorId="1771FD2B" wp14:editId="0B0A05D2">
          <wp:simplePos x="0" y="0"/>
          <wp:positionH relativeFrom="page">
            <wp:posOffset>1141094</wp:posOffset>
          </wp:positionH>
          <wp:positionV relativeFrom="page">
            <wp:posOffset>525779</wp:posOffset>
          </wp:positionV>
          <wp:extent cx="2119757" cy="29972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119757" cy="299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F6D"/>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7132D9"/>
    <w:multiLevelType w:val="hybridMultilevel"/>
    <w:tmpl w:val="B960466C"/>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2" w15:restartNumberingAfterBreak="0">
    <w:nsid w:val="05996AED"/>
    <w:multiLevelType w:val="hybridMultilevel"/>
    <w:tmpl w:val="CA4407EE"/>
    <w:lvl w:ilvl="0" w:tplc="CBAABFF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27366"/>
    <w:multiLevelType w:val="hybridMultilevel"/>
    <w:tmpl w:val="B0E23A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B73C0C"/>
    <w:multiLevelType w:val="hybridMultilevel"/>
    <w:tmpl w:val="31363416"/>
    <w:lvl w:ilvl="0" w:tplc="DC9CFF5C">
      <w:start w:val="1"/>
      <w:numFmt w:val="bullet"/>
      <w:lvlText w:val="-"/>
      <w:lvlJc w:val="left"/>
      <w:pPr>
        <w:ind w:left="785" w:hanging="360"/>
      </w:pPr>
      <w:rPr>
        <w:rFonts w:ascii="Verdana" w:eastAsia="SimSu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2B6B9C"/>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F533CF"/>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8FF1601"/>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730F3D"/>
    <w:multiLevelType w:val="hybridMultilevel"/>
    <w:tmpl w:val="AFC23598"/>
    <w:lvl w:ilvl="0" w:tplc="04060001">
      <w:start w:val="1"/>
      <w:numFmt w:val="bullet"/>
      <w:lvlText w:val=""/>
      <w:lvlJc w:val="left"/>
      <w:pPr>
        <w:ind w:left="858" w:hanging="360"/>
      </w:pPr>
      <w:rPr>
        <w:rFonts w:ascii="Symbol" w:hAnsi="Symbol" w:hint="default"/>
      </w:rPr>
    </w:lvl>
    <w:lvl w:ilvl="1" w:tplc="04060003" w:tentative="1">
      <w:start w:val="1"/>
      <w:numFmt w:val="bullet"/>
      <w:lvlText w:val="o"/>
      <w:lvlJc w:val="left"/>
      <w:pPr>
        <w:ind w:left="1578" w:hanging="360"/>
      </w:pPr>
      <w:rPr>
        <w:rFonts w:ascii="Courier New" w:hAnsi="Courier New" w:cs="Courier New" w:hint="default"/>
      </w:rPr>
    </w:lvl>
    <w:lvl w:ilvl="2" w:tplc="04060005" w:tentative="1">
      <w:start w:val="1"/>
      <w:numFmt w:val="bullet"/>
      <w:lvlText w:val=""/>
      <w:lvlJc w:val="left"/>
      <w:pPr>
        <w:ind w:left="2298" w:hanging="360"/>
      </w:pPr>
      <w:rPr>
        <w:rFonts w:ascii="Wingdings" w:hAnsi="Wingdings" w:hint="default"/>
      </w:rPr>
    </w:lvl>
    <w:lvl w:ilvl="3" w:tplc="04060001" w:tentative="1">
      <w:start w:val="1"/>
      <w:numFmt w:val="bullet"/>
      <w:lvlText w:val=""/>
      <w:lvlJc w:val="left"/>
      <w:pPr>
        <w:ind w:left="3018" w:hanging="360"/>
      </w:pPr>
      <w:rPr>
        <w:rFonts w:ascii="Symbol" w:hAnsi="Symbol" w:hint="default"/>
      </w:rPr>
    </w:lvl>
    <w:lvl w:ilvl="4" w:tplc="04060003" w:tentative="1">
      <w:start w:val="1"/>
      <w:numFmt w:val="bullet"/>
      <w:lvlText w:val="o"/>
      <w:lvlJc w:val="left"/>
      <w:pPr>
        <w:ind w:left="3738" w:hanging="360"/>
      </w:pPr>
      <w:rPr>
        <w:rFonts w:ascii="Courier New" w:hAnsi="Courier New" w:cs="Courier New" w:hint="default"/>
      </w:rPr>
    </w:lvl>
    <w:lvl w:ilvl="5" w:tplc="04060005" w:tentative="1">
      <w:start w:val="1"/>
      <w:numFmt w:val="bullet"/>
      <w:lvlText w:val=""/>
      <w:lvlJc w:val="left"/>
      <w:pPr>
        <w:ind w:left="4458" w:hanging="360"/>
      </w:pPr>
      <w:rPr>
        <w:rFonts w:ascii="Wingdings" w:hAnsi="Wingdings" w:hint="default"/>
      </w:rPr>
    </w:lvl>
    <w:lvl w:ilvl="6" w:tplc="04060001" w:tentative="1">
      <w:start w:val="1"/>
      <w:numFmt w:val="bullet"/>
      <w:lvlText w:val=""/>
      <w:lvlJc w:val="left"/>
      <w:pPr>
        <w:ind w:left="5178" w:hanging="360"/>
      </w:pPr>
      <w:rPr>
        <w:rFonts w:ascii="Symbol" w:hAnsi="Symbol" w:hint="default"/>
      </w:rPr>
    </w:lvl>
    <w:lvl w:ilvl="7" w:tplc="04060003" w:tentative="1">
      <w:start w:val="1"/>
      <w:numFmt w:val="bullet"/>
      <w:lvlText w:val="o"/>
      <w:lvlJc w:val="left"/>
      <w:pPr>
        <w:ind w:left="5898" w:hanging="360"/>
      </w:pPr>
      <w:rPr>
        <w:rFonts w:ascii="Courier New" w:hAnsi="Courier New" w:cs="Courier New" w:hint="default"/>
      </w:rPr>
    </w:lvl>
    <w:lvl w:ilvl="8" w:tplc="04060005" w:tentative="1">
      <w:start w:val="1"/>
      <w:numFmt w:val="bullet"/>
      <w:lvlText w:val=""/>
      <w:lvlJc w:val="left"/>
      <w:pPr>
        <w:ind w:left="6618" w:hanging="360"/>
      </w:pPr>
      <w:rPr>
        <w:rFonts w:ascii="Wingdings" w:hAnsi="Wingdings" w:hint="default"/>
      </w:rPr>
    </w:lvl>
  </w:abstractNum>
  <w:abstractNum w:abstractNumId="9" w15:restartNumberingAfterBreak="0">
    <w:nsid w:val="215D19E9"/>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E81BD8"/>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6BD6902"/>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9E3284F"/>
    <w:multiLevelType w:val="hybridMultilevel"/>
    <w:tmpl w:val="4FEC6C52"/>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437B98"/>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6DC5E78"/>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8A31131"/>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88009F"/>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1410DE3"/>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8CF7B63"/>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8873CB"/>
    <w:multiLevelType w:val="hybridMultilevel"/>
    <w:tmpl w:val="310A9C74"/>
    <w:lvl w:ilvl="0" w:tplc="B6CC2B36">
      <w:start w:val="1"/>
      <w:numFmt w:val="decimal"/>
      <w:lvlText w:val="%1."/>
      <w:lvlJc w:val="left"/>
      <w:pPr>
        <w:ind w:left="726" w:hanging="588"/>
      </w:pPr>
      <w:rPr>
        <w:rFonts w:hint="default"/>
      </w:rPr>
    </w:lvl>
    <w:lvl w:ilvl="1" w:tplc="04060019" w:tentative="1">
      <w:start w:val="1"/>
      <w:numFmt w:val="lowerLetter"/>
      <w:lvlText w:val="%2."/>
      <w:lvlJc w:val="left"/>
      <w:pPr>
        <w:ind w:left="1218" w:hanging="360"/>
      </w:pPr>
    </w:lvl>
    <w:lvl w:ilvl="2" w:tplc="0406001B" w:tentative="1">
      <w:start w:val="1"/>
      <w:numFmt w:val="lowerRoman"/>
      <w:lvlText w:val="%3."/>
      <w:lvlJc w:val="right"/>
      <w:pPr>
        <w:ind w:left="1938" w:hanging="180"/>
      </w:pPr>
    </w:lvl>
    <w:lvl w:ilvl="3" w:tplc="0406000F" w:tentative="1">
      <w:start w:val="1"/>
      <w:numFmt w:val="decimal"/>
      <w:lvlText w:val="%4."/>
      <w:lvlJc w:val="left"/>
      <w:pPr>
        <w:ind w:left="2658" w:hanging="360"/>
      </w:pPr>
    </w:lvl>
    <w:lvl w:ilvl="4" w:tplc="04060019" w:tentative="1">
      <w:start w:val="1"/>
      <w:numFmt w:val="lowerLetter"/>
      <w:lvlText w:val="%5."/>
      <w:lvlJc w:val="left"/>
      <w:pPr>
        <w:ind w:left="3378" w:hanging="360"/>
      </w:pPr>
    </w:lvl>
    <w:lvl w:ilvl="5" w:tplc="0406001B" w:tentative="1">
      <w:start w:val="1"/>
      <w:numFmt w:val="lowerRoman"/>
      <w:lvlText w:val="%6."/>
      <w:lvlJc w:val="right"/>
      <w:pPr>
        <w:ind w:left="4098" w:hanging="180"/>
      </w:pPr>
    </w:lvl>
    <w:lvl w:ilvl="6" w:tplc="0406000F" w:tentative="1">
      <w:start w:val="1"/>
      <w:numFmt w:val="decimal"/>
      <w:lvlText w:val="%7."/>
      <w:lvlJc w:val="left"/>
      <w:pPr>
        <w:ind w:left="4818" w:hanging="360"/>
      </w:pPr>
    </w:lvl>
    <w:lvl w:ilvl="7" w:tplc="04060019" w:tentative="1">
      <w:start w:val="1"/>
      <w:numFmt w:val="lowerLetter"/>
      <w:lvlText w:val="%8."/>
      <w:lvlJc w:val="left"/>
      <w:pPr>
        <w:ind w:left="5538" w:hanging="360"/>
      </w:pPr>
    </w:lvl>
    <w:lvl w:ilvl="8" w:tplc="0406001B" w:tentative="1">
      <w:start w:val="1"/>
      <w:numFmt w:val="lowerRoman"/>
      <w:lvlText w:val="%9."/>
      <w:lvlJc w:val="right"/>
      <w:pPr>
        <w:ind w:left="6258" w:hanging="180"/>
      </w:pPr>
    </w:lvl>
  </w:abstractNum>
  <w:abstractNum w:abstractNumId="20" w15:restartNumberingAfterBreak="0">
    <w:nsid w:val="5018769C"/>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8224AAA"/>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D0C5198"/>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F7B4278"/>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0E62AEC"/>
    <w:multiLevelType w:val="hybridMultilevel"/>
    <w:tmpl w:val="91165AC6"/>
    <w:lvl w:ilvl="0" w:tplc="7700CC8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56651B"/>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95947B8"/>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E5C1866"/>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4F53E61"/>
    <w:multiLevelType w:val="hybridMultilevel"/>
    <w:tmpl w:val="8E6688EC"/>
    <w:lvl w:ilvl="0" w:tplc="04060001">
      <w:start w:val="1"/>
      <w:numFmt w:val="bullet"/>
      <w:lvlText w:val=""/>
      <w:lvlJc w:val="left"/>
      <w:pPr>
        <w:ind w:left="858" w:hanging="360"/>
      </w:pPr>
      <w:rPr>
        <w:rFonts w:ascii="Symbol" w:hAnsi="Symbol" w:hint="default"/>
      </w:rPr>
    </w:lvl>
    <w:lvl w:ilvl="1" w:tplc="04060003" w:tentative="1">
      <w:start w:val="1"/>
      <w:numFmt w:val="bullet"/>
      <w:lvlText w:val="o"/>
      <w:lvlJc w:val="left"/>
      <w:pPr>
        <w:ind w:left="1578" w:hanging="360"/>
      </w:pPr>
      <w:rPr>
        <w:rFonts w:ascii="Courier New" w:hAnsi="Courier New" w:cs="Courier New" w:hint="default"/>
      </w:rPr>
    </w:lvl>
    <w:lvl w:ilvl="2" w:tplc="04060005" w:tentative="1">
      <w:start w:val="1"/>
      <w:numFmt w:val="bullet"/>
      <w:lvlText w:val=""/>
      <w:lvlJc w:val="left"/>
      <w:pPr>
        <w:ind w:left="2298" w:hanging="360"/>
      </w:pPr>
      <w:rPr>
        <w:rFonts w:ascii="Wingdings" w:hAnsi="Wingdings" w:hint="default"/>
      </w:rPr>
    </w:lvl>
    <w:lvl w:ilvl="3" w:tplc="04060001" w:tentative="1">
      <w:start w:val="1"/>
      <w:numFmt w:val="bullet"/>
      <w:lvlText w:val=""/>
      <w:lvlJc w:val="left"/>
      <w:pPr>
        <w:ind w:left="3018" w:hanging="360"/>
      </w:pPr>
      <w:rPr>
        <w:rFonts w:ascii="Symbol" w:hAnsi="Symbol" w:hint="default"/>
      </w:rPr>
    </w:lvl>
    <w:lvl w:ilvl="4" w:tplc="04060003" w:tentative="1">
      <w:start w:val="1"/>
      <w:numFmt w:val="bullet"/>
      <w:lvlText w:val="o"/>
      <w:lvlJc w:val="left"/>
      <w:pPr>
        <w:ind w:left="3738" w:hanging="360"/>
      </w:pPr>
      <w:rPr>
        <w:rFonts w:ascii="Courier New" w:hAnsi="Courier New" w:cs="Courier New" w:hint="default"/>
      </w:rPr>
    </w:lvl>
    <w:lvl w:ilvl="5" w:tplc="04060005" w:tentative="1">
      <w:start w:val="1"/>
      <w:numFmt w:val="bullet"/>
      <w:lvlText w:val=""/>
      <w:lvlJc w:val="left"/>
      <w:pPr>
        <w:ind w:left="4458" w:hanging="360"/>
      </w:pPr>
      <w:rPr>
        <w:rFonts w:ascii="Wingdings" w:hAnsi="Wingdings" w:hint="default"/>
      </w:rPr>
    </w:lvl>
    <w:lvl w:ilvl="6" w:tplc="04060001" w:tentative="1">
      <w:start w:val="1"/>
      <w:numFmt w:val="bullet"/>
      <w:lvlText w:val=""/>
      <w:lvlJc w:val="left"/>
      <w:pPr>
        <w:ind w:left="5178" w:hanging="360"/>
      </w:pPr>
      <w:rPr>
        <w:rFonts w:ascii="Symbol" w:hAnsi="Symbol" w:hint="default"/>
      </w:rPr>
    </w:lvl>
    <w:lvl w:ilvl="7" w:tplc="04060003" w:tentative="1">
      <w:start w:val="1"/>
      <w:numFmt w:val="bullet"/>
      <w:lvlText w:val="o"/>
      <w:lvlJc w:val="left"/>
      <w:pPr>
        <w:ind w:left="5898" w:hanging="360"/>
      </w:pPr>
      <w:rPr>
        <w:rFonts w:ascii="Courier New" w:hAnsi="Courier New" w:cs="Courier New" w:hint="default"/>
      </w:rPr>
    </w:lvl>
    <w:lvl w:ilvl="8" w:tplc="04060005" w:tentative="1">
      <w:start w:val="1"/>
      <w:numFmt w:val="bullet"/>
      <w:lvlText w:val=""/>
      <w:lvlJc w:val="left"/>
      <w:pPr>
        <w:ind w:left="6618" w:hanging="360"/>
      </w:pPr>
      <w:rPr>
        <w:rFonts w:ascii="Wingdings" w:hAnsi="Wingdings" w:hint="default"/>
      </w:rPr>
    </w:lvl>
  </w:abstractNum>
  <w:abstractNum w:abstractNumId="29" w15:restartNumberingAfterBreak="0">
    <w:nsid w:val="78A77F02"/>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B95650D"/>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D1617BA"/>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ECC1AB3"/>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F151DB9"/>
    <w:multiLevelType w:val="hybridMultilevel"/>
    <w:tmpl w:val="9DC040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70733810">
    <w:abstractNumId w:val="8"/>
  </w:num>
  <w:num w:numId="2" w16cid:durableId="1957757571">
    <w:abstractNumId w:val="19"/>
  </w:num>
  <w:num w:numId="3" w16cid:durableId="1458183325">
    <w:abstractNumId w:val="28"/>
  </w:num>
  <w:num w:numId="4" w16cid:durableId="624774705">
    <w:abstractNumId w:val="4"/>
  </w:num>
  <w:num w:numId="5" w16cid:durableId="323313645">
    <w:abstractNumId w:val="1"/>
  </w:num>
  <w:num w:numId="6" w16cid:durableId="1691295347">
    <w:abstractNumId w:val="21"/>
  </w:num>
  <w:num w:numId="7" w16cid:durableId="1341617645">
    <w:abstractNumId w:val="18"/>
  </w:num>
  <w:num w:numId="8" w16cid:durableId="1447043419">
    <w:abstractNumId w:val="16"/>
  </w:num>
  <w:num w:numId="9" w16cid:durableId="298846165">
    <w:abstractNumId w:val="26"/>
  </w:num>
  <w:num w:numId="10" w16cid:durableId="1928269901">
    <w:abstractNumId w:val="9"/>
  </w:num>
  <w:num w:numId="11" w16cid:durableId="801583356">
    <w:abstractNumId w:val="17"/>
  </w:num>
  <w:num w:numId="12" w16cid:durableId="871379667">
    <w:abstractNumId w:val="0"/>
  </w:num>
  <w:num w:numId="13" w16cid:durableId="1824200635">
    <w:abstractNumId w:val="25"/>
  </w:num>
  <w:num w:numId="14" w16cid:durableId="2024093567">
    <w:abstractNumId w:val="31"/>
  </w:num>
  <w:num w:numId="15" w16cid:durableId="2116048023">
    <w:abstractNumId w:val="24"/>
  </w:num>
  <w:num w:numId="16" w16cid:durableId="1082095865">
    <w:abstractNumId w:val="32"/>
  </w:num>
  <w:num w:numId="17" w16cid:durableId="1900552055">
    <w:abstractNumId w:val="13"/>
  </w:num>
  <w:num w:numId="18" w16cid:durableId="514030468">
    <w:abstractNumId w:val="14"/>
  </w:num>
  <w:num w:numId="19" w16cid:durableId="1623881221">
    <w:abstractNumId w:val="15"/>
  </w:num>
  <w:num w:numId="20" w16cid:durableId="329254651">
    <w:abstractNumId w:val="20"/>
  </w:num>
  <w:num w:numId="21" w16cid:durableId="685445077">
    <w:abstractNumId w:val="12"/>
  </w:num>
  <w:num w:numId="22" w16cid:durableId="4937971">
    <w:abstractNumId w:val="2"/>
  </w:num>
  <w:num w:numId="23" w16cid:durableId="1965622902">
    <w:abstractNumId w:val="3"/>
  </w:num>
  <w:num w:numId="24" w16cid:durableId="1957364746">
    <w:abstractNumId w:val="30"/>
  </w:num>
  <w:num w:numId="25" w16cid:durableId="560020012">
    <w:abstractNumId w:val="33"/>
  </w:num>
  <w:num w:numId="26" w16cid:durableId="117649965">
    <w:abstractNumId w:val="10"/>
  </w:num>
  <w:num w:numId="27" w16cid:durableId="442652288">
    <w:abstractNumId w:val="29"/>
  </w:num>
  <w:num w:numId="28" w16cid:durableId="842748362">
    <w:abstractNumId w:val="5"/>
  </w:num>
  <w:num w:numId="29" w16cid:durableId="67503321">
    <w:abstractNumId w:val="27"/>
  </w:num>
  <w:num w:numId="30" w16cid:durableId="1432160581">
    <w:abstractNumId w:val="11"/>
  </w:num>
  <w:num w:numId="31" w16cid:durableId="609817340">
    <w:abstractNumId w:val="7"/>
  </w:num>
  <w:num w:numId="32" w16cid:durableId="1751344792">
    <w:abstractNumId w:val="23"/>
  </w:num>
  <w:num w:numId="33" w16cid:durableId="541403854">
    <w:abstractNumId w:val="22"/>
  </w:num>
  <w:num w:numId="34" w16cid:durableId="1709602958">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84"/>
    <w:rsid w:val="00001725"/>
    <w:rsid w:val="00005489"/>
    <w:rsid w:val="0000711A"/>
    <w:rsid w:val="00010893"/>
    <w:rsid w:val="00010896"/>
    <w:rsid w:val="000147C1"/>
    <w:rsid w:val="0001513C"/>
    <w:rsid w:val="00015D72"/>
    <w:rsid w:val="0002445D"/>
    <w:rsid w:val="000270E7"/>
    <w:rsid w:val="00033E11"/>
    <w:rsid w:val="000345E2"/>
    <w:rsid w:val="00036F09"/>
    <w:rsid w:val="00044D48"/>
    <w:rsid w:val="00046394"/>
    <w:rsid w:val="000463A7"/>
    <w:rsid w:val="0006456B"/>
    <w:rsid w:val="000702A7"/>
    <w:rsid w:val="00073942"/>
    <w:rsid w:val="00074E25"/>
    <w:rsid w:val="000778A2"/>
    <w:rsid w:val="00080840"/>
    <w:rsid w:val="00080D92"/>
    <w:rsid w:val="0008178C"/>
    <w:rsid w:val="0008386F"/>
    <w:rsid w:val="00086726"/>
    <w:rsid w:val="00087572"/>
    <w:rsid w:val="0008798A"/>
    <w:rsid w:val="00090AE8"/>
    <w:rsid w:val="000912B3"/>
    <w:rsid w:val="00092F4E"/>
    <w:rsid w:val="00094D07"/>
    <w:rsid w:val="000A101D"/>
    <w:rsid w:val="000A373A"/>
    <w:rsid w:val="000B1CA0"/>
    <w:rsid w:val="000B2DFD"/>
    <w:rsid w:val="000B5C83"/>
    <w:rsid w:val="000B710E"/>
    <w:rsid w:val="000C426E"/>
    <w:rsid w:val="000C4E9F"/>
    <w:rsid w:val="000C572F"/>
    <w:rsid w:val="000C6132"/>
    <w:rsid w:val="000C6613"/>
    <w:rsid w:val="000D60D2"/>
    <w:rsid w:val="000E6BF0"/>
    <w:rsid w:val="000F0289"/>
    <w:rsid w:val="000F1116"/>
    <w:rsid w:val="000F5BD4"/>
    <w:rsid w:val="00106EE1"/>
    <w:rsid w:val="001079C6"/>
    <w:rsid w:val="00110F09"/>
    <w:rsid w:val="001111F7"/>
    <w:rsid w:val="001117DD"/>
    <w:rsid w:val="00111D8C"/>
    <w:rsid w:val="00111FB8"/>
    <w:rsid w:val="00117128"/>
    <w:rsid w:val="00120CE1"/>
    <w:rsid w:val="00123AAC"/>
    <w:rsid w:val="00124540"/>
    <w:rsid w:val="00124EEA"/>
    <w:rsid w:val="00127C2B"/>
    <w:rsid w:val="00130257"/>
    <w:rsid w:val="00131BDD"/>
    <w:rsid w:val="00131C9D"/>
    <w:rsid w:val="00133ADC"/>
    <w:rsid w:val="001346A0"/>
    <w:rsid w:val="001418F4"/>
    <w:rsid w:val="00142131"/>
    <w:rsid w:val="00143F3C"/>
    <w:rsid w:val="00147BE2"/>
    <w:rsid w:val="00153130"/>
    <w:rsid w:val="0015622D"/>
    <w:rsid w:val="00163FF9"/>
    <w:rsid w:val="0016678A"/>
    <w:rsid w:val="00167FAD"/>
    <w:rsid w:val="00171803"/>
    <w:rsid w:val="001821C2"/>
    <w:rsid w:val="00182F63"/>
    <w:rsid w:val="00185775"/>
    <w:rsid w:val="001931FD"/>
    <w:rsid w:val="0019418F"/>
    <w:rsid w:val="001957DE"/>
    <w:rsid w:val="001A0588"/>
    <w:rsid w:val="001A2AA1"/>
    <w:rsid w:val="001A47CD"/>
    <w:rsid w:val="001B0B6D"/>
    <w:rsid w:val="001B2481"/>
    <w:rsid w:val="001B26DA"/>
    <w:rsid w:val="001B6424"/>
    <w:rsid w:val="001B6D1D"/>
    <w:rsid w:val="001B6FC1"/>
    <w:rsid w:val="001C16A4"/>
    <w:rsid w:val="001C2F7E"/>
    <w:rsid w:val="001C69A8"/>
    <w:rsid w:val="001D0D6B"/>
    <w:rsid w:val="001D206C"/>
    <w:rsid w:val="001D2AE5"/>
    <w:rsid w:val="001D3DCB"/>
    <w:rsid w:val="001D777D"/>
    <w:rsid w:val="001E2D40"/>
    <w:rsid w:val="001E3E7B"/>
    <w:rsid w:val="001E4985"/>
    <w:rsid w:val="001E64B9"/>
    <w:rsid w:val="001F4AEC"/>
    <w:rsid w:val="001F581B"/>
    <w:rsid w:val="001F5AEE"/>
    <w:rsid w:val="0020008B"/>
    <w:rsid w:val="00200B7D"/>
    <w:rsid w:val="00203DD1"/>
    <w:rsid w:val="00205E97"/>
    <w:rsid w:val="0020773F"/>
    <w:rsid w:val="002152DB"/>
    <w:rsid w:val="002153A4"/>
    <w:rsid w:val="00223DD4"/>
    <w:rsid w:val="00225BD4"/>
    <w:rsid w:val="00226CFB"/>
    <w:rsid w:val="00233824"/>
    <w:rsid w:val="00234028"/>
    <w:rsid w:val="002361D2"/>
    <w:rsid w:val="00244720"/>
    <w:rsid w:val="00244751"/>
    <w:rsid w:val="00251D30"/>
    <w:rsid w:val="00264533"/>
    <w:rsid w:val="002703D7"/>
    <w:rsid w:val="00282611"/>
    <w:rsid w:val="00290681"/>
    <w:rsid w:val="00295D1A"/>
    <w:rsid w:val="00296CE5"/>
    <w:rsid w:val="00296D8F"/>
    <w:rsid w:val="002A0F01"/>
    <w:rsid w:val="002A25A9"/>
    <w:rsid w:val="002A3332"/>
    <w:rsid w:val="002A7FFD"/>
    <w:rsid w:val="002B2B60"/>
    <w:rsid w:val="002B537A"/>
    <w:rsid w:val="002B6683"/>
    <w:rsid w:val="002B6BBD"/>
    <w:rsid w:val="002C08E5"/>
    <w:rsid w:val="002C3615"/>
    <w:rsid w:val="002D2D69"/>
    <w:rsid w:val="002D3051"/>
    <w:rsid w:val="002D34EA"/>
    <w:rsid w:val="002D4B56"/>
    <w:rsid w:val="002D4FEE"/>
    <w:rsid w:val="002D63CC"/>
    <w:rsid w:val="002E0F2C"/>
    <w:rsid w:val="002E1881"/>
    <w:rsid w:val="002E233F"/>
    <w:rsid w:val="002E57AD"/>
    <w:rsid w:val="002E637D"/>
    <w:rsid w:val="002F09C8"/>
    <w:rsid w:val="002F62ED"/>
    <w:rsid w:val="002F656E"/>
    <w:rsid w:val="002F677A"/>
    <w:rsid w:val="002F683D"/>
    <w:rsid w:val="002F6969"/>
    <w:rsid w:val="00302C26"/>
    <w:rsid w:val="003057AE"/>
    <w:rsid w:val="00311704"/>
    <w:rsid w:val="00312358"/>
    <w:rsid w:val="00314D93"/>
    <w:rsid w:val="00317CB7"/>
    <w:rsid w:val="003240C0"/>
    <w:rsid w:val="003336B2"/>
    <w:rsid w:val="00333F0F"/>
    <w:rsid w:val="00334B48"/>
    <w:rsid w:val="00334B9B"/>
    <w:rsid w:val="003411FB"/>
    <w:rsid w:val="00344039"/>
    <w:rsid w:val="00345EB9"/>
    <w:rsid w:val="00350D84"/>
    <w:rsid w:val="00351CF7"/>
    <w:rsid w:val="00357336"/>
    <w:rsid w:val="0036020D"/>
    <w:rsid w:val="00364DEC"/>
    <w:rsid w:val="003663C4"/>
    <w:rsid w:val="003720EC"/>
    <w:rsid w:val="00372E3D"/>
    <w:rsid w:val="003735DF"/>
    <w:rsid w:val="00375E1A"/>
    <w:rsid w:val="00375FA3"/>
    <w:rsid w:val="00381D84"/>
    <w:rsid w:val="0038751E"/>
    <w:rsid w:val="00387C5C"/>
    <w:rsid w:val="003901E2"/>
    <w:rsid w:val="00393AAB"/>
    <w:rsid w:val="00394316"/>
    <w:rsid w:val="003945AE"/>
    <w:rsid w:val="00394B4E"/>
    <w:rsid w:val="00397C7A"/>
    <w:rsid w:val="00397E98"/>
    <w:rsid w:val="003A0E15"/>
    <w:rsid w:val="003A3A46"/>
    <w:rsid w:val="003A43FB"/>
    <w:rsid w:val="003C00DC"/>
    <w:rsid w:val="003C111F"/>
    <w:rsid w:val="003C4C0C"/>
    <w:rsid w:val="003D0A8A"/>
    <w:rsid w:val="003D2D71"/>
    <w:rsid w:val="003D4BF7"/>
    <w:rsid w:val="003E0DCD"/>
    <w:rsid w:val="003E4658"/>
    <w:rsid w:val="003E4A67"/>
    <w:rsid w:val="003F1A28"/>
    <w:rsid w:val="003F7A39"/>
    <w:rsid w:val="00400FB1"/>
    <w:rsid w:val="0040253F"/>
    <w:rsid w:val="0040571F"/>
    <w:rsid w:val="00407BFF"/>
    <w:rsid w:val="00410244"/>
    <w:rsid w:val="0041170B"/>
    <w:rsid w:val="00415F43"/>
    <w:rsid w:val="00417119"/>
    <w:rsid w:val="00423D32"/>
    <w:rsid w:val="00430A5D"/>
    <w:rsid w:val="00431449"/>
    <w:rsid w:val="00435BF9"/>
    <w:rsid w:val="00444B31"/>
    <w:rsid w:val="00447DE1"/>
    <w:rsid w:val="00450ECB"/>
    <w:rsid w:val="00452FAC"/>
    <w:rsid w:val="004646A8"/>
    <w:rsid w:val="00467C77"/>
    <w:rsid w:val="004704C1"/>
    <w:rsid w:val="004732B3"/>
    <w:rsid w:val="004802B4"/>
    <w:rsid w:val="0048673F"/>
    <w:rsid w:val="00492EC7"/>
    <w:rsid w:val="00494EE9"/>
    <w:rsid w:val="00496E8A"/>
    <w:rsid w:val="00496F6A"/>
    <w:rsid w:val="004A03D0"/>
    <w:rsid w:val="004A58A2"/>
    <w:rsid w:val="004A5AFC"/>
    <w:rsid w:val="004C3C09"/>
    <w:rsid w:val="004C406E"/>
    <w:rsid w:val="004C4A54"/>
    <w:rsid w:val="004C5267"/>
    <w:rsid w:val="004C5B35"/>
    <w:rsid w:val="004C70A6"/>
    <w:rsid w:val="004C7606"/>
    <w:rsid w:val="004C7EFC"/>
    <w:rsid w:val="004D08ED"/>
    <w:rsid w:val="004D105F"/>
    <w:rsid w:val="004D1F0F"/>
    <w:rsid w:val="004D3D87"/>
    <w:rsid w:val="004E4681"/>
    <w:rsid w:val="004E6F0C"/>
    <w:rsid w:val="004F52E2"/>
    <w:rsid w:val="004F675C"/>
    <w:rsid w:val="004F77C4"/>
    <w:rsid w:val="00500185"/>
    <w:rsid w:val="0050491C"/>
    <w:rsid w:val="0050588F"/>
    <w:rsid w:val="0051169F"/>
    <w:rsid w:val="00512988"/>
    <w:rsid w:val="00516E7E"/>
    <w:rsid w:val="0052351D"/>
    <w:rsid w:val="00524DAB"/>
    <w:rsid w:val="00527D5E"/>
    <w:rsid w:val="0053607B"/>
    <w:rsid w:val="0053656F"/>
    <w:rsid w:val="0053729D"/>
    <w:rsid w:val="005400AB"/>
    <w:rsid w:val="0054361F"/>
    <w:rsid w:val="00545760"/>
    <w:rsid w:val="00546E3A"/>
    <w:rsid w:val="00547DE0"/>
    <w:rsid w:val="00550E44"/>
    <w:rsid w:val="005515A2"/>
    <w:rsid w:val="00552E51"/>
    <w:rsid w:val="00553B6C"/>
    <w:rsid w:val="00554949"/>
    <w:rsid w:val="00554A4D"/>
    <w:rsid w:val="00555DE7"/>
    <w:rsid w:val="005576F0"/>
    <w:rsid w:val="00560116"/>
    <w:rsid w:val="00564E80"/>
    <w:rsid w:val="00566187"/>
    <w:rsid w:val="0057010A"/>
    <w:rsid w:val="005738AE"/>
    <w:rsid w:val="0057402F"/>
    <w:rsid w:val="005744CA"/>
    <w:rsid w:val="0057682D"/>
    <w:rsid w:val="00577407"/>
    <w:rsid w:val="00577864"/>
    <w:rsid w:val="005804AF"/>
    <w:rsid w:val="005866E6"/>
    <w:rsid w:val="00586B5D"/>
    <w:rsid w:val="00590AD1"/>
    <w:rsid w:val="00592C00"/>
    <w:rsid w:val="00593EC2"/>
    <w:rsid w:val="005941E0"/>
    <w:rsid w:val="005963DD"/>
    <w:rsid w:val="005A1D76"/>
    <w:rsid w:val="005A5EDB"/>
    <w:rsid w:val="005A7617"/>
    <w:rsid w:val="005B70B9"/>
    <w:rsid w:val="005C7EC8"/>
    <w:rsid w:val="005D44DD"/>
    <w:rsid w:val="005D5522"/>
    <w:rsid w:val="005E1FC5"/>
    <w:rsid w:val="005E3CDC"/>
    <w:rsid w:val="005E5827"/>
    <w:rsid w:val="005E792A"/>
    <w:rsid w:val="005F3ED6"/>
    <w:rsid w:val="005F70BE"/>
    <w:rsid w:val="00606F9B"/>
    <w:rsid w:val="0061175E"/>
    <w:rsid w:val="006128B1"/>
    <w:rsid w:val="00621116"/>
    <w:rsid w:val="006223FD"/>
    <w:rsid w:val="00623536"/>
    <w:rsid w:val="00630B7D"/>
    <w:rsid w:val="00632EFB"/>
    <w:rsid w:val="00636615"/>
    <w:rsid w:val="006376E3"/>
    <w:rsid w:val="00640212"/>
    <w:rsid w:val="0064378F"/>
    <w:rsid w:val="0065654A"/>
    <w:rsid w:val="006607D3"/>
    <w:rsid w:val="00660D44"/>
    <w:rsid w:val="006630BB"/>
    <w:rsid w:val="006644BF"/>
    <w:rsid w:val="006648E0"/>
    <w:rsid w:val="00664E03"/>
    <w:rsid w:val="00667AE2"/>
    <w:rsid w:val="00671133"/>
    <w:rsid w:val="0067115A"/>
    <w:rsid w:val="0067466C"/>
    <w:rsid w:val="00677C31"/>
    <w:rsid w:val="006839DE"/>
    <w:rsid w:val="006844C6"/>
    <w:rsid w:val="0069008C"/>
    <w:rsid w:val="00690A28"/>
    <w:rsid w:val="00690BA8"/>
    <w:rsid w:val="00691742"/>
    <w:rsid w:val="00693229"/>
    <w:rsid w:val="00694728"/>
    <w:rsid w:val="006948B3"/>
    <w:rsid w:val="00696792"/>
    <w:rsid w:val="00697F1A"/>
    <w:rsid w:val="006A1B68"/>
    <w:rsid w:val="006A2A95"/>
    <w:rsid w:val="006B0CC2"/>
    <w:rsid w:val="006B130F"/>
    <w:rsid w:val="006B28EC"/>
    <w:rsid w:val="006B6387"/>
    <w:rsid w:val="006C0FD7"/>
    <w:rsid w:val="006C24F0"/>
    <w:rsid w:val="006D246E"/>
    <w:rsid w:val="006D35EF"/>
    <w:rsid w:val="006D3E12"/>
    <w:rsid w:val="006D46A1"/>
    <w:rsid w:val="006D7459"/>
    <w:rsid w:val="006E1591"/>
    <w:rsid w:val="006E17FC"/>
    <w:rsid w:val="006E2494"/>
    <w:rsid w:val="006E2F65"/>
    <w:rsid w:val="006E4CF0"/>
    <w:rsid w:val="006F1633"/>
    <w:rsid w:val="006F6CFB"/>
    <w:rsid w:val="006F7B74"/>
    <w:rsid w:val="00701151"/>
    <w:rsid w:val="00705471"/>
    <w:rsid w:val="0071769F"/>
    <w:rsid w:val="007179EF"/>
    <w:rsid w:val="00720550"/>
    <w:rsid w:val="007305A9"/>
    <w:rsid w:val="00734AB2"/>
    <w:rsid w:val="0074071E"/>
    <w:rsid w:val="007435FC"/>
    <w:rsid w:val="00743B01"/>
    <w:rsid w:val="00750278"/>
    <w:rsid w:val="00755AD0"/>
    <w:rsid w:val="00761301"/>
    <w:rsid w:val="00775713"/>
    <w:rsid w:val="007833A6"/>
    <w:rsid w:val="007834DF"/>
    <w:rsid w:val="00784427"/>
    <w:rsid w:val="00784530"/>
    <w:rsid w:val="00785633"/>
    <w:rsid w:val="00792A8E"/>
    <w:rsid w:val="007A15E3"/>
    <w:rsid w:val="007A4760"/>
    <w:rsid w:val="007B0E8D"/>
    <w:rsid w:val="007B12EF"/>
    <w:rsid w:val="007B460E"/>
    <w:rsid w:val="007B5D34"/>
    <w:rsid w:val="007B5DDB"/>
    <w:rsid w:val="007B5DFF"/>
    <w:rsid w:val="007C3DE4"/>
    <w:rsid w:val="007C4F16"/>
    <w:rsid w:val="007C7346"/>
    <w:rsid w:val="007D38C7"/>
    <w:rsid w:val="007D7E6E"/>
    <w:rsid w:val="007E15CE"/>
    <w:rsid w:val="007E5F4F"/>
    <w:rsid w:val="007F0C04"/>
    <w:rsid w:val="007F3397"/>
    <w:rsid w:val="007F512E"/>
    <w:rsid w:val="007F5B6D"/>
    <w:rsid w:val="007F7EEC"/>
    <w:rsid w:val="008005C7"/>
    <w:rsid w:val="0080127D"/>
    <w:rsid w:val="00802910"/>
    <w:rsid w:val="00802F0A"/>
    <w:rsid w:val="0080315B"/>
    <w:rsid w:val="00812279"/>
    <w:rsid w:val="008124FF"/>
    <w:rsid w:val="008139C7"/>
    <w:rsid w:val="008215A6"/>
    <w:rsid w:val="00821955"/>
    <w:rsid w:val="00821BE5"/>
    <w:rsid w:val="008223CD"/>
    <w:rsid w:val="00823FED"/>
    <w:rsid w:val="0083180D"/>
    <w:rsid w:val="00835224"/>
    <w:rsid w:val="00837EA0"/>
    <w:rsid w:val="00845B34"/>
    <w:rsid w:val="00847C03"/>
    <w:rsid w:val="0085334A"/>
    <w:rsid w:val="00860AE2"/>
    <w:rsid w:val="0086712C"/>
    <w:rsid w:val="00873CD1"/>
    <w:rsid w:val="00876941"/>
    <w:rsid w:val="00877F2B"/>
    <w:rsid w:val="0088379C"/>
    <w:rsid w:val="0088384A"/>
    <w:rsid w:val="00890929"/>
    <w:rsid w:val="00892C4D"/>
    <w:rsid w:val="008932F3"/>
    <w:rsid w:val="00894E45"/>
    <w:rsid w:val="0089609B"/>
    <w:rsid w:val="008A027C"/>
    <w:rsid w:val="008A42F7"/>
    <w:rsid w:val="008A75E7"/>
    <w:rsid w:val="008B046F"/>
    <w:rsid w:val="008B2E04"/>
    <w:rsid w:val="008B4469"/>
    <w:rsid w:val="008B502F"/>
    <w:rsid w:val="008C5ECB"/>
    <w:rsid w:val="008D1CCD"/>
    <w:rsid w:val="008D3DA7"/>
    <w:rsid w:val="008D3E77"/>
    <w:rsid w:val="008D681A"/>
    <w:rsid w:val="008D7CDF"/>
    <w:rsid w:val="008E0D70"/>
    <w:rsid w:val="008E56DC"/>
    <w:rsid w:val="008E5922"/>
    <w:rsid w:val="008F066D"/>
    <w:rsid w:val="00901BFD"/>
    <w:rsid w:val="00902D15"/>
    <w:rsid w:val="009078B9"/>
    <w:rsid w:val="00911A38"/>
    <w:rsid w:val="00921BE1"/>
    <w:rsid w:val="00924F0E"/>
    <w:rsid w:val="0092661B"/>
    <w:rsid w:val="00927EAC"/>
    <w:rsid w:val="00930CC8"/>
    <w:rsid w:val="00931A74"/>
    <w:rsid w:val="00932716"/>
    <w:rsid w:val="00932EB8"/>
    <w:rsid w:val="009376AF"/>
    <w:rsid w:val="0094000A"/>
    <w:rsid w:val="009438CE"/>
    <w:rsid w:val="00943A40"/>
    <w:rsid w:val="00944D9B"/>
    <w:rsid w:val="00946487"/>
    <w:rsid w:val="00947658"/>
    <w:rsid w:val="0094780A"/>
    <w:rsid w:val="00951FB1"/>
    <w:rsid w:val="00962FEF"/>
    <w:rsid w:val="00971E34"/>
    <w:rsid w:val="00975AF2"/>
    <w:rsid w:val="00985EC1"/>
    <w:rsid w:val="0098616F"/>
    <w:rsid w:val="00990020"/>
    <w:rsid w:val="00991EC6"/>
    <w:rsid w:val="0099209B"/>
    <w:rsid w:val="00992357"/>
    <w:rsid w:val="00995BD6"/>
    <w:rsid w:val="009A3374"/>
    <w:rsid w:val="009A3944"/>
    <w:rsid w:val="009A5DA2"/>
    <w:rsid w:val="009A7E36"/>
    <w:rsid w:val="009B0EAD"/>
    <w:rsid w:val="009B1E5B"/>
    <w:rsid w:val="009B6035"/>
    <w:rsid w:val="009B628D"/>
    <w:rsid w:val="009B66F0"/>
    <w:rsid w:val="009C024D"/>
    <w:rsid w:val="009C341B"/>
    <w:rsid w:val="009C6BC2"/>
    <w:rsid w:val="009E1A00"/>
    <w:rsid w:val="009E464F"/>
    <w:rsid w:val="009F1BB9"/>
    <w:rsid w:val="009F660E"/>
    <w:rsid w:val="00A00BBD"/>
    <w:rsid w:val="00A1148A"/>
    <w:rsid w:val="00A13E11"/>
    <w:rsid w:val="00A14921"/>
    <w:rsid w:val="00A15B7B"/>
    <w:rsid w:val="00A16718"/>
    <w:rsid w:val="00A16BD2"/>
    <w:rsid w:val="00A23E41"/>
    <w:rsid w:val="00A24208"/>
    <w:rsid w:val="00A30A8F"/>
    <w:rsid w:val="00A34F4D"/>
    <w:rsid w:val="00A36797"/>
    <w:rsid w:val="00A37025"/>
    <w:rsid w:val="00A42521"/>
    <w:rsid w:val="00A4374F"/>
    <w:rsid w:val="00A45309"/>
    <w:rsid w:val="00A469E4"/>
    <w:rsid w:val="00A47D02"/>
    <w:rsid w:val="00A51CFB"/>
    <w:rsid w:val="00A54B9B"/>
    <w:rsid w:val="00A560BE"/>
    <w:rsid w:val="00A56601"/>
    <w:rsid w:val="00A6048A"/>
    <w:rsid w:val="00A6258A"/>
    <w:rsid w:val="00A64E16"/>
    <w:rsid w:val="00A66F00"/>
    <w:rsid w:val="00A70EA1"/>
    <w:rsid w:val="00A72DD8"/>
    <w:rsid w:val="00A875CA"/>
    <w:rsid w:val="00A91DDB"/>
    <w:rsid w:val="00A92548"/>
    <w:rsid w:val="00A94848"/>
    <w:rsid w:val="00AA09BE"/>
    <w:rsid w:val="00AA0DFA"/>
    <w:rsid w:val="00AA2DBA"/>
    <w:rsid w:val="00AA4D94"/>
    <w:rsid w:val="00AA6CF2"/>
    <w:rsid w:val="00AB0CCA"/>
    <w:rsid w:val="00AB1A44"/>
    <w:rsid w:val="00AC68BB"/>
    <w:rsid w:val="00AC6D78"/>
    <w:rsid w:val="00AC75E9"/>
    <w:rsid w:val="00AC7976"/>
    <w:rsid w:val="00AD0A52"/>
    <w:rsid w:val="00AD38CA"/>
    <w:rsid w:val="00AD40C3"/>
    <w:rsid w:val="00AD71A4"/>
    <w:rsid w:val="00AE1432"/>
    <w:rsid w:val="00AE3794"/>
    <w:rsid w:val="00AE543B"/>
    <w:rsid w:val="00AF1F55"/>
    <w:rsid w:val="00AF6577"/>
    <w:rsid w:val="00AF7229"/>
    <w:rsid w:val="00B01A9C"/>
    <w:rsid w:val="00B05017"/>
    <w:rsid w:val="00B06317"/>
    <w:rsid w:val="00B17FD6"/>
    <w:rsid w:val="00B208ED"/>
    <w:rsid w:val="00B243C2"/>
    <w:rsid w:val="00B26460"/>
    <w:rsid w:val="00B265E2"/>
    <w:rsid w:val="00B27B96"/>
    <w:rsid w:val="00B304E1"/>
    <w:rsid w:val="00B31774"/>
    <w:rsid w:val="00B37D45"/>
    <w:rsid w:val="00B40B4A"/>
    <w:rsid w:val="00B4341F"/>
    <w:rsid w:val="00B47728"/>
    <w:rsid w:val="00B50C2C"/>
    <w:rsid w:val="00B5301C"/>
    <w:rsid w:val="00B5414A"/>
    <w:rsid w:val="00B61AF4"/>
    <w:rsid w:val="00B63B6F"/>
    <w:rsid w:val="00B63C6B"/>
    <w:rsid w:val="00B76969"/>
    <w:rsid w:val="00B77E12"/>
    <w:rsid w:val="00B834BD"/>
    <w:rsid w:val="00B90C79"/>
    <w:rsid w:val="00B92632"/>
    <w:rsid w:val="00B93839"/>
    <w:rsid w:val="00BA76B5"/>
    <w:rsid w:val="00BB0163"/>
    <w:rsid w:val="00BB37A9"/>
    <w:rsid w:val="00BB5636"/>
    <w:rsid w:val="00BB607E"/>
    <w:rsid w:val="00BB761F"/>
    <w:rsid w:val="00BB770F"/>
    <w:rsid w:val="00BC0256"/>
    <w:rsid w:val="00BC0A33"/>
    <w:rsid w:val="00BC1053"/>
    <w:rsid w:val="00BC2D19"/>
    <w:rsid w:val="00BC31C4"/>
    <w:rsid w:val="00BC7B74"/>
    <w:rsid w:val="00BC7F90"/>
    <w:rsid w:val="00BD5084"/>
    <w:rsid w:val="00BD6745"/>
    <w:rsid w:val="00BE2A6F"/>
    <w:rsid w:val="00BE4921"/>
    <w:rsid w:val="00C020F9"/>
    <w:rsid w:val="00C076BE"/>
    <w:rsid w:val="00C1010F"/>
    <w:rsid w:val="00C16381"/>
    <w:rsid w:val="00C31710"/>
    <w:rsid w:val="00C32EC2"/>
    <w:rsid w:val="00C35B42"/>
    <w:rsid w:val="00C44E1B"/>
    <w:rsid w:val="00C51109"/>
    <w:rsid w:val="00C53926"/>
    <w:rsid w:val="00C56F42"/>
    <w:rsid w:val="00C57503"/>
    <w:rsid w:val="00C57E23"/>
    <w:rsid w:val="00C6494D"/>
    <w:rsid w:val="00C71451"/>
    <w:rsid w:val="00C71FCB"/>
    <w:rsid w:val="00C72718"/>
    <w:rsid w:val="00C7275E"/>
    <w:rsid w:val="00C72EF0"/>
    <w:rsid w:val="00C73490"/>
    <w:rsid w:val="00C74DDD"/>
    <w:rsid w:val="00C7732E"/>
    <w:rsid w:val="00C80E96"/>
    <w:rsid w:val="00C81669"/>
    <w:rsid w:val="00C81B89"/>
    <w:rsid w:val="00C835FF"/>
    <w:rsid w:val="00C86774"/>
    <w:rsid w:val="00C86916"/>
    <w:rsid w:val="00C93CCD"/>
    <w:rsid w:val="00CA1054"/>
    <w:rsid w:val="00CA3628"/>
    <w:rsid w:val="00CA3F02"/>
    <w:rsid w:val="00CA4AD6"/>
    <w:rsid w:val="00CA5BF8"/>
    <w:rsid w:val="00CA66F4"/>
    <w:rsid w:val="00CB00C9"/>
    <w:rsid w:val="00CB1EA9"/>
    <w:rsid w:val="00CB2710"/>
    <w:rsid w:val="00CB3815"/>
    <w:rsid w:val="00CB4586"/>
    <w:rsid w:val="00CC0DC2"/>
    <w:rsid w:val="00CC1D5B"/>
    <w:rsid w:val="00CC2E39"/>
    <w:rsid w:val="00CD4A01"/>
    <w:rsid w:val="00CD5F1C"/>
    <w:rsid w:val="00CD7924"/>
    <w:rsid w:val="00CE338F"/>
    <w:rsid w:val="00CF660A"/>
    <w:rsid w:val="00CF6A2E"/>
    <w:rsid w:val="00D01519"/>
    <w:rsid w:val="00D0173A"/>
    <w:rsid w:val="00D02441"/>
    <w:rsid w:val="00D06DF1"/>
    <w:rsid w:val="00D07A2A"/>
    <w:rsid w:val="00D10863"/>
    <w:rsid w:val="00D1291D"/>
    <w:rsid w:val="00D242A0"/>
    <w:rsid w:val="00D26DF2"/>
    <w:rsid w:val="00D30250"/>
    <w:rsid w:val="00D31A00"/>
    <w:rsid w:val="00D35004"/>
    <w:rsid w:val="00D35BEE"/>
    <w:rsid w:val="00D41181"/>
    <w:rsid w:val="00D41E7E"/>
    <w:rsid w:val="00D46C8C"/>
    <w:rsid w:val="00D47D8B"/>
    <w:rsid w:val="00D51D02"/>
    <w:rsid w:val="00D54642"/>
    <w:rsid w:val="00D63A4E"/>
    <w:rsid w:val="00D640B4"/>
    <w:rsid w:val="00D66019"/>
    <w:rsid w:val="00D70B93"/>
    <w:rsid w:val="00D7276F"/>
    <w:rsid w:val="00D73968"/>
    <w:rsid w:val="00D75452"/>
    <w:rsid w:val="00D76E00"/>
    <w:rsid w:val="00D8259F"/>
    <w:rsid w:val="00D83DB3"/>
    <w:rsid w:val="00D864DF"/>
    <w:rsid w:val="00D91D59"/>
    <w:rsid w:val="00D95152"/>
    <w:rsid w:val="00D97AE0"/>
    <w:rsid w:val="00DA024C"/>
    <w:rsid w:val="00DA1D8F"/>
    <w:rsid w:val="00DA6416"/>
    <w:rsid w:val="00DB0B1E"/>
    <w:rsid w:val="00DB0D98"/>
    <w:rsid w:val="00DB4074"/>
    <w:rsid w:val="00DB6634"/>
    <w:rsid w:val="00DB7100"/>
    <w:rsid w:val="00DC539F"/>
    <w:rsid w:val="00DC5C1F"/>
    <w:rsid w:val="00DC6B31"/>
    <w:rsid w:val="00DD18CC"/>
    <w:rsid w:val="00DD328D"/>
    <w:rsid w:val="00DD3553"/>
    <w:rsid w:val="00DD4250"/>
    <w:rsid w:val="00DE0AA6"/>
    <w:rsid w:val="00DE4464"/>
    <w:rsid w:val="00DE5464"/>
    <w:rsid w:val="00DE5D6E"/>
    <w:rsid w:val="00DE6FDC"/>
    <w:rsid w:val="00DF1D60"/>
    <w:rsid w:val="00E00A42"/>
    <w:rsid w:val="00E01863"/>
    <w:rsid w:val="00E07BA4"/>
    <w:rsid w:val="00E13AEF"/>
    <w:rsid w:val="00E1525D"/>
    <w:rsid w:val="00E15DAC"/>
    <w:rsid w:val="00E2223A"/>
    <w:rsid w:val="00E24CBC"/>
    <w:rsid w:val="00E25AE5"/>
    <w:rsid w:val="00E2619A"/>
    <w:rsid w:val="00E27550"/>
    <w:rsid w:val="00E3011F"/>
    <w:rsid w:val="00E312FB"/>
    <w:rsid w:val="00E3352E"/>
    <w:rsid w:val="00E34CC4"/>
    <w:rsid w:val="00E36CD0"/>
    <w:rsid w:val="00E37805"/>
    <w:rsid w:val="00E406F3"/>
    <w:rsid w:val="00E407FF"/>
    <w:rsid w:val="00E52616"/>
    <w:rsid w:val="00E547B1"/>
    <w:rsid w:val="00E61A0F"/>
    <w:rsid w:val="00E624B3"/>
    <w:rsid w:val="00E6293F"/>
    <w:rsid w:val="00E72818"/>
    <w:rsid w:val="00E77101"/>
    <w:rsid w:val="00E84D98"/>
    <w:rsid w:val="00E86AE8"/>
    <w:rsid w:val="00E92B4F"/>
    <w:rsid w:val="00E93D2B"/>
    <w:rsid w:val="00E94473"/>
    <w:rsid w:val="00E95627"/>
    <w:rsid w:val="00E97B94"/>
    <w:rsid w:val="00EA0E6E"/>
    <w:rsid w:val="00EA1615"/>
    <w:rsid w:val="00EA223C"/>
    <w:rsid w:val="00EB3D22"/>
    <w:rsid w:val="00EB5E25"/>
    <w:rsid w:val="00EC0470"/>
    <w:rsid w:val="00EC186C"/>
    <w:rsid w:val="00EC506F"/>
    <w:rsid w:val="00EC6F30"/>
    <w:rsid w:val="00ED0589"/>
    <w:rsid w:val="00ED1F3A"/>
    <w:rsid w:val="00ED21A6"/>
    <w:rsid w:val="00ED5F96"/>
    <w:rsid w:val="00EE04A3"/>
    <w:rsid w:val="00EE1FCF"/>
    <w:rsid w:val="00EE6587"/>
    <w:rsid w:val="00EE78F7"/>
    <w:rsid w:val="00EF0CA0"/>
    <w:rsid w:val="00EF0E1B"/>
    <w:rsid w:val="00EF483E"/>
    <w:rsid w:val="00EF4FA7"/>
    <w:rsid w:val="00EF6B08"/>
    <w:rsid w:val="00F02865"/>
    <w:rsid w:val="00F03C20"/>
    <w:rsid w:val="00F05271"/>
    <w:rsid w:val="00F05A10"/>
    <w:rsid w:val="00F05E08"/>
    <w:rsid w:val="00F06C5D"/>
    <w:rsid w:val="00F0709F"/>
    <w:rsid w:val="00F0719A"/>
    <w:rsid w:val="00F11AE6"/>
    <w:rsid w:val="00F149B8"/>
    <w:rsid w:val="00F16792"/>
    <w:rsid w:val="00F1759C"/>
    <w:rsid w:val="00F1785E"/>
    <w:rsid w:val="00F211B0"/>
    <w:rsid w:val="00F238C2"/>
    <w:rsid w:val="00F339BC"/>
    <w:rsid w:val="00F35B08"/>
    <w:rsid w:val="00F41362"/>
    <w:rsid w:val="00F459F3"/>
    <w:rsid w:val="00F46185"/>
    <w:rsid w:val="00F465E2"/>
    <w:rsid w:val="00F46855"/>
    <w:rsid w:val="00F52BE9"/>
    <w:rsid w:val="00F53EB2"/>
    <w:rsid w:val="00F55334"/>
    <w:rsid w:val="00F5566E"/>
    <w:rsid w:val="00F5725A"/>
    <w:rsid w:val="00F630FD"/>
    <w:rsid w:val="00F67869"/>
    <w:rsid w:val="00F73550"/>
    <w:rsid w:val="00F76341"/>
    <w:rsid w:val="00F816EA"/>
    <w:rsid w:val="00F8210C"/>
    <w:rsid w:val="00F83E7F"/>
    <w:rsid w:val="00F84EEE"/>
    <w:rsid w:val="00F8609A"/>
    <w:rsid w:val="00F86DA7"/>
    <w:rsid w:val="00F9069D"/>
    <w:rsid w:val="00F90BB0"/>
    <w:rsid w:val="00F90CED"/>
    <w:rsid w:val="00F93995"/>
    <w:rsid w:val="00F962B1"/>
    <w:rsid w:val="00FA28BF"/>
    <w:rsid w:val="00FA2A02"/>
    <w:rsid w:val="00FA2BB7"/>
    <w:rsid w:val="00FA470A"/>
    <w:rsid w:val="00FA6EF4"/>
    <w:rsid w:val="00FB05DB"/>
    <w:rsid w:val="00FC271A"/>
    <w:rsid w:val="00FC53B8"/>
    <w:rsid w:val="00FC630E"/>
    <w:rsid w:val="00FC78C6"/>
    <w:rsid w:val="00FD0766"/>
    <w:rsid w:val="00FD139C"/>
    <w:rsid w:val="00FD36F7"/>
    <w:rsid w:val="00FD651F"/>
    <w:rsid w:val="00FD788E"/>
    <w:rsid w:val="00FE2E30"/>
    <w:rsid w:val="00FE3FE9"/>
    <w:rsid w:val="00FE60A5"/>
    <w:rsid w:val="76D767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5A03A"/>
  <w15:docId w15:val="{D763BBE7-F395-4EF7-B54B-E8B2C44E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sv-SE"/>
    </w:rPr>
  </w:style>
  <w:style w:type="paragraph" w:styleId="Heading1">
    <w:name w:val="heading 1"/>
    <w:basedOn w:val="Normal"/>
    <w:uiPriority w:val="9"/>
    <w:qFormat/>
    <w:pPr>
      <w:ind w:left="11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sz w:val="18"/>
      <w:szCs w:val="18"/>
    </w:rPr>
  </w:style>
  <w:style w:type="paragraph" w:styleId="ListParagraph">
    <w:name w:val="List Paragraph"/>
    <w:aliases w:val="Paragraphe EI,Paragraphe de liste1,EC,Normal bullet 2,Bullet list,List Paragraph1,Numbered List,1st level - Bullet List Paragraph,Lettre d'introduction,Paragrafo elenco,List Paragraph11,Paragraphe de liste,Dot pt"/>
    <w:basedOn w:val="Normal"/>
    <w:link w:val="ListParagraphChar"/>
    <w:uiPriority w:val="34"/>
    <w:qFormat/>
    <w:pPr>
      <w:spacing w:before="106"/>
      <w:ind w:left="155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667AE2"/>
    <w:rPr>
      <w:sz w:val="16"/>
      <w:szCs w:val="16"/>
    </w:rPr>
  </w:style>
  <w:style w:type="paragraph" w:styleId="CommentText">
    <w:name w:val="annotation text"/>
    <w:basedOn w:val="Normal"/>
    <w:link w:val="CommentTextChar"/>
    <w:uiPriority w:val="99"/>
    <w:unhideWhenUsed/>
    <w:rsid w:val="00667AE2"/>
    <w:rPr>
      <w:sz w:val="20"/>
      <w:szCs w:val="20"/>
    </w:rPr>
  </w:style>
  <w:style w:type="character" w:customStyle="1" w:styleId="CommentTextChar">
    <w:name w:val="Comment Text Char"/>
    <w:basedOn w:val="DefaultParagraphFont"/>
    <w:link w:val="CommentText"/>
    <w:uiPriority w:val="99"/>
    <w:rsid w:val="00667AE2"/>
    <w:rPr>
      <w:rFonts w:ascii="Verdana" w:eastAsia="Verdana" w:hAnsi="Verdana" w:cs="Verdana"/>
      <w:sz w:val="20"/>
      <w:szCs w:val="20"/>
      <w:lang w:val="sv-SE"/>
    </w:rPr>
  </w:style>
  <w:style w:type="paragraph" w:styleId="CommentSubject">
    <w:name w:val="annotation subject"/>
    <w:basedOn w:val="CommentText"/>
    <w:next w:val="CommentText"/>
    <w:link w:val="CommentSubjectChar"/>
    <w:uiPriority w:val="99"/>
    <w:semiHidden/>
    <w:unhideWhenUsed/>
    <w:rsid w:val="00667AE2"/>
    <w:rPr>
      <w:b/>
      <w:bCs/>
    </w:rPr>
  </w:style>
  <w:style w:type="character" w:customStyle="1" w:styleId="CommentSubjectChar">
    <w:name w:val="Comment Subject Char"/>
    <w:basedOn w:val="CommentTextChar"/>
    <w:link w:val="CommentSubject"/>
    <w:uiPriority w:val="99"/>
    <w:semiHidden/>
    <w:rsid w:val="00667AE2"/>
    <w:rPr>
      <w:rFonts w:ascii="Verdana" w:eastAsia="Verdana" w:hAnsi="Verdana" w:cs="Verdana"/>
      <w:b/>
      <w:bCs/>
      <w:sz w:val="20"/>
      <w:szCs w:val="20"/>
      <w:lang w:val="sv-SE"/>
    </w:rPr>
  </w:style>
  <w:style w:type="paragraph" w:styleId="Header">
    <w:name w:val="header"/>
    <w:basedOn w:val="Normal"/>
    <w:link w:val="HeaderChar"/>
    <w:uiPriority w:val="99"/>
    <w:unhideWhenUsed/>
    <w:rsid w:val="00E312FB"/>
    <w:pPr>
      <w:tabs>
        <w:tab w:val="center" w:pos="4513"/>
        <w:tab w:val="right" w:pos="9026"/>
      </w:tabs>
    </w:pPr>
  </w:style>
  <w:style w:type="character" w:customStyle="1" w:styleId="HeaderChar">
    <w:name w:val="Header Char"/>
    <w:basedOn w:val="DefaultParagraphFont"/>
    <w:link w:val="Header"/>
    <w:uiPriority w:val="99"/>
    <w:rsid w:val="00E312FB"/>
    <w:rPr>
      <w:rFonts w:ascii="Verdana" w:eastAsia="Verdana" w:hAnsi="Verdana" w:cs="Verdana"/>
      <w:lang w:val="sv-SE"/>
    </w:rPr>
  </w:style>
  <w:style w:type="paragraph" w:styleId="Footer">
    <w:name w:val="footer"/>
    <w:basedOn w:val="Normal"/>
    <w:link w:val="FooterChar"/>
    <w:uiPriority w:val="99"/>
    <w:unhideWhenUsed/>
    <w:rsid w:val="00E312FB"/>
    <w:pPr>
      <w:tabs>
        <w:tab w:val="center" w:pos="4513"/>
        <w:tab w:val="right" w:pos="9026"/>
      </w:tabs>
    </w:pPr>
  </w:style>
  <w:style w:type="character" w:customStyle="1" w:styleId="FooterChar">
    <w:name w:val="Footer Char"/>
    <w:basedOn w:val="DefaultParagraphFont"/>
    <w:link w:val="Footer"/>
    <w:uiPriority w:val="99"/>
    <w:rsid w:val="00E312FB"/>
    <w:rPr>
      <w:rFonts w:ascii="Verdana" w:eastAsia="Verdana" w:hAnsi="Verdana" w:cs="Verdana"/>
      <w:lang w:val="sv-SE"/>
    </w:rPr>
  </w:style>
  <w:style w:type="table" w:styleId="TableGrid">
    <w:name w:val="Table Grid"/>
    <w:basedOn w:val="TableNormal"/>
    <w:uiPriority w:val="39"/>
    <w:rsid w:val="005738AE"/>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A027C"/>
    <w:rPr>
      <w:color w:val="605E5C"/>
      <w:shd w:val="clear" w:color="auto" w:fill="E1DFDD"/>
    </w:rPr>
  </w:style>
  <w:style w:type="character" w:styleId="Mention">
    <w:name w:val="Mention"/>
    <w:basedOn w:val="DefaultParagraphFont"/>
    <w:uiPriority w:val="99"/>
    <w:unhideWhenUsed/>
    <w:rsid w:val="008A027C"/>
    <w:rPr>
      <w:color w:val="2B579A"/>
      <w:shd w:val="clear" w:color="auto" w:fill="E1DFDD"/>
    </w:rPr>
  </w:style>
  <w:style w:type="character" w:styleId="Hyperlink">
    <w:name w:val="Hyperlink"/>
    <w:basedOn w:val="DefaultParagraphFont"/>
    <w:uiPriority w:val="99"/>
    <w:unhideWhenUsed/>
    <w:rsid w:val="000C426E"/>
    <w:rPr>
      <w:color w:val="0000FF" w:themeColor="hyperlink"/>
      <w:u w:val="single"/>
    </w:rPr>
  </w:style>
  <w:style w:type="table" w:customStyle="1" w:styleId="GenestaTable2">
    <w:name w:val="Genesta Table 2"/>
    <w:basedOn w:val="TableNormal"/>
    <w:uiPriority w:val="99"/>
    <w:qFormat/>
    <w:rsid w:val="00CA4AD6"/>
    <w:pPr>
      <w:widowControl/>
      <w:autoSpaceDE/>
      <w:autoSpaceDN/>
      <w:spacing w:before="60"/>
    </w:pPr>
    <w:rPr>
      <w:rFonts w:ascii="Verdana" w:hAnsi="Verdana"/>
      <w:i/>
      <w:sz w:val="18"/>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Pr>
        <w:tblCellMar>
          <w:top w:w="0" w:type="dxa"/>
          <w:left w:w="113" w:type="dxa"/>
          <w:bottom w:w="0" w:type="dxa"/>
          <w:right w:w="113" w:type="dxa"/>
        </w:tblCellMar>
      </w:tblPr>
      <w:tcPr>
        <w:shd w:val="clear" w:color="auto" w:fill="B8CCE4" w:themeFill="accent1" w:themeFillTint="66"/>
      </w:tcPr>
    </w:tblStylePr>
    <w:tblStylePr w:type="firstCol">
      <w:tblPr/>
      <w:tcPr>
        <w:shd w:val="clear" w:color="auto" w:fill="B8CCE4" w:themeFill="accent1" w:themeFillTint="66"/>
      </w:tcPr>
    </w:tblStylePr>
  </w:style>
  <w:style w:type="paragraph" w:styleId="BalloonText">
    <w:name w:val="Balloon Text"/>
    <w:basedOn w:val="Normal"/>
    <w:link w:val="BalloonTextChar"/>
    <w:uiPriority w:val="99"/>
    <w:semiHidden/>
    <w:unhideWhenUsed/>
    <w:rsid w:val="00537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9D"/>
    <w:rPr>
      <w:rFonts w:ascii="Segoe UI" w:eastAsia="Verdana" w:hAnsi="Segoe UI" w:cs="Segoe UI"/>
      <w:sz w:val="18"/>
      <w:szCs w:val="18"/>
      <w:lang w:val="sv-SE"/>
    </w:rPr>
  </w:style>
  <w:style w:type="table" w:customStyle="1" w:styleId="PlainTable11">
    <w:name w:val="Plain Table 11"/>
    <w:basedOn w:val="TableNormal"/>
    <w:uiPriority w:val="41"/>
    <w:rsid w:val="008C5ECB"/>
    <w:pPr>
      <w:widowControl/>
      <w:autoSpaceDE/>
      <w:autoSpaceDN/>
    </w:pPr>
    <w:rPr>
      <w:rFonts w:eastAsia="Times New Roman"/>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Char">
    <w:name w:val="Body Text Char"/>
    <w:basedOn w:val="DefaultParagraphFont"/>
    <w:link w:val="BodyText"/>
    <w:uiPriority w:val="1"/>
    <w:rsid w:val="00EA223C"/>
    <w:rPr>
      <w:rFonts w:ascii="Verdana" w:eastAsia="Verdana" w:hAnsi="Verdana" w:cs="Verdana"/>
      <w:sz w:val="18"/>
      <w:szCs w:val="18"/>
      <w:lang w:val="sv-SE"/>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D10863"/>
    <w:rPr>
      <w:rFonts w:ascii="Verdana" w:eastAsia="Verdana" w:hAnsi="Verdana" w:cs="Verdana"/>
      <w:lang w:val="sv-SE"/>
    </w:rPr>
  </w:style>
  <w:style w:type="paragraph" w:styleId="FootnoteText">
    <w:name w:val="footnote text"/>
    <w:aliases w:val="Car,Char2 Char,FN,FT,Footnote Text Char1 Char,PRI Footnote Text,Style 34,^Foot,fn,footnote text1,footnote text1_0,footnote text1_0_0,footnote text1_0_0_0,ft,Word Footnote Text,mod Footnote Text,word Footnote Text,FT Char Char,FT Char Char1"/>
    <w:basedOn w:val="Normal"/>
    <w:link w:val="FootnoteTextChar"/>
    <w:qFormat/>
    <w:rsid w:val="008A42F7"/>
    <w:pPr>
      <w:widowControl/>
      <w:autoSpaceDE/>
      <w:autoSpaceDN/>
      <w:ind w:left="360" w:hanging="360"/>
      <w:jc w:val="both"/>
    </w:pPr>
    <w:rPr>
      <w:rFonts w:ascii="Calibri" w:eastAsia="Times New Roman" w:hAnsi="Calibri" w:cs="Times New Roman"/>
      <w:szCs w:val="20"/>
      <w:lang w:val="en-US"/>
    </w:rPr>
  </w:style>
  <w:style w:type="character" w:customStyle="1" w:styleId="FootnoteTextChar">
    <w:name w:val="Footnote Text Char"/>
    <w:aliases w:val="Car Char,Char2 Char Char,FN Char,FT Char,Footnote Text Char1 Char Char,PRI Footnote Text Char,Style 34 Char,^Foot Char,fn Char,footnote text1 Char,footnote text1_0 Char,footnote text1_0_0 Char,footnote text1_0_0_0 Char,ft Char"/>
    <w:basedOn w:val="DefaultParagraphFont"/>
    <w:link w:val="FootnoteText"/>
    <w:qFormat/>
    <w:rsid w:val="008A42F7"/>
    <w:rPr>
      <w:rFonts w:ascii="Calibri" w:eastAsia="Times New Roman" w:hAnsi="Calibri" w:cs="Times New Roman"/>
      <w:szCs w:val="20"/>
    </w:rPr>
  </w:style>
  <w:style w:type="character" w:styleId="FootnoteReference">
    <w:name w:val="footnote reference"/>
    <w:aliases w:val="*,FC,FN Ref,Footnote reference,Style 33,_Footn,_Footnote Reference,_Footnote Text,_Footnote base Reference,_Footnote text,fr,tex,(Asian) Arial,16 Point,Black,Superscript 6 Point,fr + (Latin) Arial,ftref,Style 45,Style 25,Style 49,o"/>
    <w:unhideWhenUsed/>
    <w:qFormat/>
    <w:rsid w:val="008A42F7"/>
    <w:rPr>
      <w:vertAlign w:val="superscript"/>
    </w:rPr>
  </w:style>
  <w:style w:type="paragraph" w:styleId="Revision">
    <w:name w:val="Revision"/>
    <w:hidden/>
    <w:uiPriority w:val="99"/>
    <w:semiHidden/>
    <w:rsid w:val="00E86AE8"/>
    <w:pPr>
      <w:widowControl/>
      <w:autoSpaceDE/>
      <w:autoSpaceDN/>
    </w:pPr>
    <w:rPr>
      <w:rFonts w:ascii="Verdana" w:eastAsia="Verdana" w:hAnsi="Verdana" w:cs="Verdana"/>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5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sb.com/nl-en/real-estate-assess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philip.bjork@genesta.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gresb.com/generated_files/real_estate/2022/real_estate/scoring_document/comple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1. Taxonomy-alignment</a:t>
            </a:r>
            <a:r>
              <a:rPr lang="en-US" sz="800" baseline="0"/>
              <a:t> of </a:t>
            </a:r>
            <a:r>
              <a:rPr lang="en-US" sz="800"/>
              <a:t>investments </a:t>
            </a:r>
            <a:r>
              <a:rPr lang="en-US" sz="800" b="1"/>
              <a:t>including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6A5E-422C-AEF9-BE320431DA43}"/>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6A5E-422C-AEF9-BE320431DA43}"/>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A5E-422C-AEF9-BE320431DA43}"/>
                </c:ext>
              </c:extLst>
            </c:dLbl>
            <c:dLbl>
              <c:idx val="1"/>
              <c:tx>
                <c:rich>
                  <a:bodyPr/>
                  <a:lstStyle/>
                  <a:p>
                    <a:r>
                      <a:rPr lang="en-US"/>
                      <a:t>100%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A5E-422C-AEF9-BE320431D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0</c:v>
                </c:pt>
                <c:pt idx="1">
                  <c:v>100</c:v>
                </c:pt>
              </c:numCache>
            </c:numRef>
          </c:val>
          <c:extLst>
            <c:ext xmlns:c16="http://schemas.microsoft.com/office/drawing/2014/chart" uri="{C3380CC4-5D6E-409C-BE32-E72D297353CC}">
              <c16:uniqueId val="{00000004-6A5E-422C-AEF9-BE320431DA43}"/>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2. Taxonomy-alignment</a:t>
            </a:r>
            <a:r>
              <a:rPr lang="en-US" sz="800" baseline="0"/>
              <a:t> of </a:t>
            </a:r>
            <a:r>
              <a:rPr lang="en-US" sz="800"/>
              <a:t>investments </a:t>
            </a:r>
            <a:r>
              <a:rPr lang="en-US" sz="800" b="1"/>
              <a:t>excluding sovereign</a:t>
            </a:r>
            <a:r>
              <a:rPr lang="en-US" sz="800" b="1" baseline="0"/>
              <a:t> bonds*</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F485-4E05-AE03-B2714CD6ABEA}"/>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F485-4E05-AE03-B2714CD6ABEA}"/>
              </c:ext>
            </c:extLst>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t>x%</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485-4E05-AE03-B2714CD6ABEA}"/>
                </c:ext>
              </c:extLst>
            </c:dLbl>
            <c:dLbl>
              <c:idx val="1"/>
              <c:tx>
                <c:rich>
                  <a:bodyPr/>
                  <a:lstStyle/>
                  <a:p>
                    <a:r>
                      <a:rPr lang="en-US"/>
                      <a:t>100%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F485-4E05-AE03-B2714CD6AB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Taxonomy-aligned</c:v>
                </c:pt>
                <c:pt idx="1">
                  <c:v>Other investments </c:v>
                </c:pt>
              </c:strCache>
            </c:strRef>
          </c:cat>
          <c:val>
            <c:numRef>
              <c:f>Sheet1!$B$2:$B$3</c:f>
              <c:numCache>
                <c:formatCode>General</c:formatCode>
                <c:ptCount val="2"/>
                <c:pt idx="0">
                  <c:v>0</c:v>
                </c:pt>
                <c:pt idx="1">
                  <c:v>100</c:v>
                </c:pt>
              </c:numCache>
            </c:numRef>
          </c:val>
          <c:extLst>
            <c:ext xmlns:c16="http://schemas.microsoft.com/office/drawing/2014/chart" uri="{C3380CC4-5D6E-409C-BE32-E72D297353CC}">
              <c16:uniqueId val="{00000004-F485-4E05-AE03-B2714CD6ABEA}"/>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PI Working Document" ma:contentTypeID="0x01010045B1FA04ACA042E1937D0B90B6B63CBA00B799C82FE73A6A49BE5B1DD84878658B" ma:contentTypeVersion="2" ma:contentTypeDescription="" ma:contentTypeScope="" ma:versionID="663b747e25f13819c03ae4fd8fcd663b">
  <xsd:schema xmlns:xsd="http://www.w3.org/2001/XMLSchema" xmlns:xs="http://www.w3.org/2001/XMLSchema" xmlns:p="http://schemas.microsoft.com/office/2006/metadata/properties" xmlns:ns2="2e43d0a2-8d58-45dc-a63d-a7b1f2385ebe" targetNamespace="http://schemas.microsoft.com/office/2006/metadata/properties" ma:root="true" ma:fieldsID="9a7323ebbdeed90851fed865af3d8f45" ns2:_="">
    <xsd:import namespace="2e43d0a2-8d58-45dc-a63d-a7b1f2385ebe"/>
    <xsd:element name="properties">
      <xsd:complexType>
        <xsd:sequence>
          <xsd:element name="documentManagement">
            <xsd:complexType>
              <xsd:all>
                <xsd:element ref="ns2:VersionCommentBPI" minOccurs="0"/>
                <xsd:element ref="ns2:WorkingDocumentsBpiId" minOccurs="0"/>
                <xsd:element ref="ns2:AttachedToApproval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3d0a2-8d58-45dc-a63d-a7b1f2385ebe" elementFormDefault="qualified">
    <xsd:import namespace="http://schemas.microsoft.com/office/2006/documentManagement/types"/>
    <xsd:import namespace="http://schemas.microsoft.com/office/infopath/2007/PartnerControls"/>
    <xsd:element name="VersionCommentBPI" ma:index="8" nillable="true" ma:displayName="Version Comment" ma:internalName="VersionCommentBPI">
      <xsd:simpleType>
        <xsd:restriction base="dms:Note">
          <xsd:maxLength value="255"/>
        </xsd:restriction>
      </xsd:simpleType>
    </xsd:element>
    <xsd:element name="WorkingDocumentsBpiId" ma:index="9" nillable="true" ma:displayName="Working Document BPI ID" ma:hidden="true" ma:internalName="WorkingDocumentsBpiId">
      <xsd:simpleType>
        <xsd:restriction base="dms:Text"/>
      </xsd:simpleType>
    </xsd:element>
    <xsd:element name="AttachedToApprovalItem" ma:index="10" nillable="true" ma:displayName="Approval Attachment ID" ma:hidden="true" ma:internalName="AttachedToApprovalIte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ttachedToApprovalItem xmlns="2e43d0a2-8d58-45dc-a63d-a7b1f2385ebe" xsi:nil="true"/>
    <WorkingDocumentsBpiId xmlns="2e43d0a2-8d58-45dc-a63d-a7b1f2385ebe" xsi:nil="true"/>
    <VersionCommentBPI xmlns="2e43d0a2-8d58-45dc-a63d-a7b1f2385ebe" xsi:nil="true"/>
  </documentManagement>
</p:properties>
</file>

<file path=customXml/itemProps1.xml><?xml version="1.0" encoding="utf-8"?>
<ds:datastoreItem xmlns:ds="http://schemas.openxmlformats.org/officeDocument/2006/customXml" ds:itemID="{91429391-2A40-43CE-8F5E-9BF4C6102C50}">
  <ds:schemaRefs>
    <ds:schemaRef ds:uri="http://schemas.microsoft.com/sharepoint/v3/contenttype/forms"/>
  </ds:schemaRefs>
</ds:datastoreItem>
</file>

<file path=customXml/itemProps2.xml><?xml version="1.0" encoding="utf-8"?>
<ds:datastoreItem xmlns:ds="http://schemas.openxmlformats.org/officeDocument/2006/customXml" ds:itemID="{89D2B038-0D9E-42D6-8F86-E62695B83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3d0a2-8d58-45dc-a63d-a7b1f2385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54222-282E-4E18-BB27-204724587D99}">
  <ds:schemaRefs>
    <ds:schemaRef ds:uri="http://schemas.openxmlformats.org/officeDocument/2006/bibliography"/>
  </ds:schemaRefs>
</ds:datastoreItem>
</file>

<file path=customXml/itemProps4.xml><?xml version="1.0" encoding="utf-8"?>
<ds:datastoreItem xmlns:ds="http://schemas.openxmlformats.org/officeDocument/2006/customXml" ds:itemID="{8F6DA9F6-F536-4C1C-82B2-CA8349742BB3}">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2e43d0a2-8d58-45dc-a63d-a7b1f2385eb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5678</Words>
  <Characters>32370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37973</CharactersWithSpaces>
  <SharedDoc>false</SharedDoc>
  <HLinks>
    <vt:vector size="24" baseType="variant">
      <vt:variant>
        <vt:i4>5963824</vt:i4>
      </vt:variant>
      <vt:variant>
        <vt:i4>9</vt:i4>
      </vt:variant>
      <vt:variant>
        <vt:i4>0</vt:i4>
      </vt:variant>
      <vt:variant>
        <vt:i4>5</vt:i4>
      </vt:variant>
      <vt:variant>
        <vt:lpwstr>mailto:philip.bjork@genesta.se</vt:lpwstr>
      </vt:variant>
      <vt:variant>
        <vt:lpwstr/>
      </vt:variant>
      <vt:variant>
        <vt:i4>7077901</vt:i4>
      </vt:variant>
      <vt:variant>
        <vt:i4>6</vt:i4>
      </vt:variant>
      <vt:variant>
        <vt:i4>0</vt:i4>
      </vt:variant>
      <vt:variant>
        <vt:i4>5</vt:i4>
      </vt:variant>
      <vt:variant>
        <vt:lpwstr>mailto:david.neil@genesta.se</vt:lpwstr>
      </vt:variant>
      <vt:variant>
        <vt:lpwstr/>
      </vt:variant>
      <vt:variant>
        <vt:i4>7995515</vt:i4>
      </vt:variant>
      <vt:variant>
        <vt:i4>3</vt:i4>
      </vt:variant>
      <vt:variant>
        <vt:i4>0</vt:i4>
      </vt:variant>
      <vt:variant>
        <vt:i4>5</vt:i4>
      </vt:variant>
      <vt:variant>
        <vt:lpwstr>https://documents.gresb.com/generated_files/real_estate/2022/real_estate/scoring_document/complete.html</vt:lpwstr>
      </vt:variant>
      <vt:variant>
        <vt:lpwstr/>
      </vt:variant>
      <vt:variant>
        <vt:i4>3407912</vt:i4>
      </vt:variant>
      <vt:variant>
        <vt:i4>0</vt:i4>
      </vt:variant>
      <vt:variant>
        <vt:i4>0</vt:i4>
      </vt:variant>
      <vt:variant>
        <vt:i4>5</vt:i4>
      </vt:variant>
      <vt:variant>
        <vt:lpwstr>https://www.gresb.com/nl-en/real-estate-assessment/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September - Website Product Level - SFDR - GNRE - CPOE</dc:title>
  <dc:subject/>
  <dc:creator>Kajsa Flodin</dc:creator>
  <cp:keywords/>
  <cp:lastModifiedBy>John Jones</cp:lastModifiedBy>
  <cp:revision>71</cp:revision>
  <dcterms:created xsi:type="dcterms:W3CDTF">2023-01-10T21:46:00Z</dcterms:created>
  <dcterms:modified xsi:type="dcterms:W3CDTF">2023-01-11T21:57:00Z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for Microsoft 365</vt:lpwstr>
  </property>
  <property fmtid="{D5CDD505-2E9C-101B-9397-08002B2CF9AE}" pid="4" name="LastSaved">
    <vt:filetime>2022-06-27T00:00:00Z</vt:filetime>
  </property>
  <property fmtid="{D5CDD505-2E9C-101B-9397-08002B2CF9AE}" pid="5" name="ContentTypeId">
    <vt:lpwstr>0x01010045B1FA04ACA042E1937D0B90B6B63CBA00B799C82FE73A6A49BE5B1DD84878658B</vt:lpwstr>
  </property>
  <property fmtid="{D5CDD505-2E9C-101B-9397-08002B2CF9AE}" pid="6" name="MediaServiceImageTags">
    <vt:lpwstr/>
  </property>
  <property fmtid="{D5CDD505-2E9C-101B-9397-08002B2CF9AE}" pid="7" name="Client Code">
    <vt:lpwstr>10626563</vt:lpwstr>
  </property>
  <property fmtid="{D5CDD505-2E9C-101B-9397-08002B2CF9AE}" pid="8" name="DEDocumentLocation">
    <vt:lpwstr>C:\Users\nzeibig\AppData\Local\Linklaters\DocExplorer\Attachments\A49997473 v6.0 Website Product Level - SFDR - GNRE - CPOE.docx</vt:lpwstr>
  </property>
  <property fmtid="{D5CDD505-2E9C-101B-9397-08002B2CF9AE}" pid="9" name="Document Number">
    <vt:lpwstr>A49997473</vt:lpwstr>
  </property>
  <property fmtid="{D5CDD505-2E9C-101B-9397-08002B2CF9AE}" pid="10" name="Last Modified">
    <vt:lpwstr>11 Jan 2023</vt:lpwstr>
  </property>
  <property fmtid="{D5CDD505-2E9C-101B-9397-08002B2CF9AE}" pid="11" name="Matter Number">
    <vt:lpwstr>L-309365</vt:lpwstr>
  </property>
  <property fmtid="{D5CDD505-2E9C-101B-9397-08002B2CF9AE}" pid="12" name="Mode">
    <vt:lpwstr>SendAs</vt:lpwstr>
  </property>
  <property fmtid="{D5CDD505-2E9C-101B-9397-08002B2CF9AE}" pid="13" name="Version">
    <vt:lpwstr>6.0</vt:lpwstr>
  </property>
  <property fmtid="{D5CDD505-2E9C-101B-9397-08002B2CF9AE}" pid="14" name="ObjectID">
    <vt:lpwstr>09001dc898386f0e</vt:lpwstr>
  </property>
  <property fmtid="{D5CDD505-2E9C-101B-9397-08002B2CF9AE}" pid="15" name="_MarkAsFinal">
    <vt:bool>false</vt:bool>
  </property>
</Properties>
</file>